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2E" w:rsidRPr="00DD5B3A" w:rsidRDefault="00543F2E" w:rsidP="00543F2E">
      <w:pPr>
        <w:jc w:val="center"/>
        <w:rPr>
          <w:b/>
          <w:color w:val="808080" w:themeColor="background1" w:themeShade="80"/>
          <w:lang w:val="en-US"/>
        </w:rPr>
      </w:pPr>
      <w:r w:rsidRPr="00DD5B3A">
        <w:rPr>
          <w:b/>
          <w:color w:val="808080" w:themeColor="background1" w:themeShade="80"/>
          <w:lang w:val="en-US"/>
        </w:rPr>
        <w:t>XI Harvard Course in Law and Economics</w:t>
      </w:r>
    </w:p>
    <w:p w:rsidR="00543F2E" w:rsidRPr="00DD5B3A" w:rsidRDefault="00543F2E" w:rsidP="00A16627">
      <w:pPr>
        <w:tabs>
          <w:tab w:val="clear" w:pos="3420"/>
        </w:tabs>
        <w:autoSpaceDE/>
        <w:autoSpaceDN/>
        <w:spacing w:line="240" w:lineRule="auto"/>
        <w:jc w:val="center"/>
        <w:rPr>
          <w:b/>
          <w:lang w:val="en-US"/>
        </w:rPr>
      </w:pPr>
    </w:p>
    <w:p w:rsidR="00EC6FC7" w:rsidRPr="00DD5B3A" w:rsidRDefault="00020EFB" w:rsidP="00A16627">
      <w:pPr>
        <w:tabs>
          <w:tab w:val="clear" w:pos="3420"/>
        </w:tabs>
        <w:autoSpaceDE/>
        <w:autoSpaceDN/>
        <w:spacing w:line="240" w:lineRule="auto"/>
        <w:jc w:val="center"/>
        <w:rPr>
          <w:b/>
          <w:sz w:val="32"/>
          <w:szCs w:val="32"/>
        </w:rPr>
      </w:pPr>
      <w:r>
        <w:rPr>
          <w:b/>
          <w:sz w:val="32"/>
          <w:szCs w:val="32"/>
        </w:rPr>
        <w:t xml:space="preserve">El ‘cuerpo humano’ como </w:t>
      </w:r>
      <w:r w:rsidR="00EC6FC7" w:rsidRPr="00DD5B3A">
        <w:rPr>
          <w:b/>
          <w:sz w:val="32"/>
          <w:szCs w:val="32"/>
        </w:rPr>
        <w:t xml:space="preserve">objeto del contrato de trabajo: </w:t>
      </w:r>
      <w:r w:rsidR="00A61ECD">
        <w:rPr>
          <w:b/>
          <w:sz w:val="32"/>
          <w:szCs w:val="32"/>
        </w:rPr>
        <w:t>p</w:t>
      </w:r>
      <w:r w:rsidR="00EC6FC7" w:rsidRPr="00DD5B3A">
        <w:rPr>
          <w:b/>
          <w:sz w:val="32"/>
          <w:szCs w:val="32"/>
        </w:rPr>
        <w:t xml:space="preserve">aradojas del Derecho Laboral </w:t>
      </w:r>
      <w:r w:rsidR="00543F2E" w:rsidRPr="00DD5B3A">
        <w:rPr>
          <w:b/>
          <w:sz w:val="32"/>
          <w:szCs w:val="32"/>
        </w:rPr>
        <w:t xml:space="preserve">español </w:t>
      </w:r>
      <w:r w:rsidR="00EC6FC7" w:rsidRPr="00DD5B3A">
        <w:rPr>
          <w:b/>
          <w:sz w:val="32"/>
          <w:szCs w:val="32"/>
        </w:rPr>
        <w:t xml:space="preserve">a la luz del </w:t>
      </w:r>
      <w:proofErr w:type="spellStart"/>
      <w:r w:rsidR="00EC6FC7" w:rsidRPr="00DD5B3A">
        <w:rPr>
          <w:b/>
          <w:i/>
          <w:sz w:val="32"/>
          <w:szCs w:val="32"/>
        </w:rPr>
        <w:t>Law</w:t>
      </w:r>
      <w:proofErr w:type="spellEnd"/>
      <w:r w:rsidR="00EC6FC7" w:rsidRPr="00DD5B3A">
        <w:rPr>
          <w:b/>
          <w:i/>
          <w:sz w:val="32"/>
          <w:szCs w:val="32"/>
        </w:rPr>
        <w:t xml:space="preserve"> &amp; </w:t>
      </w:r>
      <w:proofErr w:type="spellStart"/>
      <w:r w:rsidR="00EC6FC7" w:rsidRPr="00DD5B3A">
        <w:rPr>
          <w:b/>
          <w:i/>
          <w:sz w:val="32"/>
          <w:szCs w:val="32"/>
        </w:rPr>
        <w:t>Economics</w:t>
      </w:r>
      <w:proofErr w:type="spellEnd"/>
      <w:r w:rsidR="00EC6FC7" w:rsidRPr="00DD5B3A">
        <w:rPr>
          <w:rStyle w:val="Refernciadenotaapeudepgina"/>
          <w:b/>
          <w:sz w:val="32"/>
          <w:szCs w:val="32"/>
        </w:rPr>
        <w:footnoteReference w:id="1"/>
      </w:r>
    </w:p>
    <w:p w:rsidR="00EC6FC7" w:rsidRPr="000A692A" w:rsidRDefault="00EC6FC7" w:rsidP="00A16627">
      <w:pPr>
        <w:tabs>
          <w:tab w:val="clear" w:pos="3420"/>
        </w:tabs>
        <w:autoSpaceDE/>
        <w:autoSpaceDN/>
        <w:spacing w:line="240" w:lineRule="auto"/>
        <w:jc w:val="center"/>
        <w:rPr>
          <w:b/>
        </w:rPr>
      </w:pPr>
    </w:p>
    <w:p w:rsidR="008136A1" w:rsidRPr="000A692A" w:rsidRDefault="008136A1" w:rsidP="00A16627">
      <w:pPr>
        <w:tabs>
          <w:tab w:val="clear" w:pos="3420"/>
        </w:tabs>
        <w:autoSpaceDE/>
        <w:autoSpaceDN/>
        <w:spacing w:line="240" w:lineRule="auto"/>
        <w:rPr>
          <w:b/>
        </w:rPr>
      </w:pPr>
    </w:p>
    <w:p w:rsidR="008136A1" w:rsidRPr="000A692A" w:rsidRDefault="008136A1" w:rsidP="00A16627">
      <w:pPr>
        <w:tabs>
          <w:tab w:val="clear" w:pos="3420"/>
        </w:tabs>
        <w:autoSpaceDE/>
        <w:autoSpaceDN/>
        <w:spacing w:line="240" w:lineRule="auto"/>
        <w:jc w:val="right"/>
        <w:rPr>
          <w:b/>
        </w:rPr>
      </w:pPr>
      <w:proofErr w:type="spellStart"/>
      <w:r w:rsidRPr="000A692A">
        <w:rPr>
          <w:b/>
        </w:rPr>
        <w:t>Ignasi</w:t>
      </w:r>
      <w:proofErr w:type="spellEnd"/>
      <w:r w:rsidRPr="000A692A">
        <w:rPr>
          <w:b/>
        </w:rPr>
        <w:t xml:space="preserve"> </w:t>
      </w:r>
      <w:proofErr w:type="spellStart"/>
      <w:r w:rsidRPr="000A692A">
        <w:rPr>
          <w:b/>
        </w:rPr>
        <w:t>Beltran</w:t>
      </w:r>
      <w:proofErr w:type="spellEnd"/>
      <w:r w:rsidRPr="000A692A">
        <w:rPr>
          <w:b/>
        </w:rPr>
        <w:t xml:space="preserve"> de Heredia Ruiz</w:t>
      </w:r>
    </w:p>
    <w:p w:rsidR="006F7F2A" w:rsidRDefault="008136A1" w:rsidP="005818A0">
      <w:pPr>
        <w:tabs>
          <w:tab w:val="clear" w:pos="3420"/>
        </w:tabs>
        <w:autoSpaceDE/>
        <w:autoSpaceDN/>
        <w:spacing w:line="240" w:lineRule="auto"/>
        <w:jc w:val="right"/>
        <w:rPr>
          <w:b/>
        </w:rPr>
      </w:pPr>
      <w:r w:rsidRPr="000A692A">
        <w:rPr>
          <w:b/>
        </w:rPr>
        <w:t>Profesor Agregado</w:t>
      </w:r>
      <w:r w:rsidR="00EF6D5E" w:rsidRPr="000A692A">
        <w:rPr>
          <w:b/>
        </w:rPr>
        <w:t xml:space="preserve"> y TU acreditado</w:t>
      </w:r>
      <w:r w:rsidR="005818A0">
        <w:rPr>
          <w:b/>
        </w:rPr>
        <w:t xml:space="preserve"> de Derecho del Trabajo y</w:t>
      </w:r>
    </w:p>
    <w:p w:rsidR="005818A0" w:rsidRDefault="005818A0" w:rsidP="005818A0">
      <w:pPr>
        <w:tabs>
          <w:tab w:val="clear" w:pos="3420"/>
        </w:tabs>
        <w:autoSpaceDE/>
        <w:autoSpaceDN/>
        <w:spacing w:line="240" w:lineRule="auto"/>
        <w:jc w:val="right"/>
        <w:rPr>
          <w:b/>
        </w:rPr>
      </w:pPr>
      <w:proofErr w:type="gramStart"/>
      <w:r>
        <w:rPr>
          <w:b/>
        </w:rPr>
        <w:t>de</w:t>
      </w:r>
      <w:proofErr w:type="gramEnd"/>
      <w:r>
        <w:rPr>
          <w:b/>
        </w:rPr>
        <w:t xml:space="preserve"> la Seguridad Social</w:t>
      </w:r>
    </w:p>
    <w:p w:rsidR="008136A1" w:rsidRPr="005818A0" w:rsidRDefault="008136A1" w:rsidP="005818A0">
      <w:pPr>
        <w:tabs>
          <w:tab w:val="clear" w:pos="3420"/>
        </w:tabs>
        <w:autoSpaceDE/>
        <w:autoSpaceDN/>
        <w:spacing w:line="240" w:lineRule="auto"/>
        <w:jc w:val="right"/>
        <w:rPr>
          <w:b/>
        </w:rPr>
      </w:pPr>
      <w:proofErr w:type="spellStart"/>
      <w:r w:rsidRPr="000A692A">
        <w:rPr>
          <w:b/>
        </w:rPr>
        <w:t>Universitat</w:t>
      </w:r>
      <w:proofErr w:type="spellEnd"/>
      <w:r w:rsidRPr="000A692A">
        <w:rPr>
          <w:b/>
        </w:rPr>
        <w:t xml:space="preserve"> </w:t>
      </w:r>
      <w:proofErr w:type="spellStart"/>
      <w:r w:rsidRPr="000A692A">
        <w:rPr>
          <w:b/>
        </w:rPr>
        <w:t>Oberta</w:t>
      </w:r>
      <w:proofErr w:type="spellEnd"/>
      <w:r w:rsidRPr="000A692A">
        <w:rPr>
          <w:b/>
        </w:rPr>
        <w:t xml:space="preserve"> de Catalunya (UOC)</w:t>
      </w:r>
    </w:p>
    <w:p w:rsidR="00A0645C" w:rsidRPr="00A0645C" w:rsidRDefault="00A0645C" w:rsidP="00A16627">
      <w:pPr>
        <w:tabs>
          <w:tab w:val="clear" w:pos="3420"/>
        </w:tabs>
        <w:autoSpaceDE/>
        <w:autoSpaceDN/>
        <w:spacing w:line="240" w:lineRule="auto"/>
        <w:rPr>
          <w:i/>
        </w:rPr>
      </w:pPr>
    </w:p>
    <w:p w:rsidR="008A35FA" w:rsidRPr="000A692A" w:rsidRDefault="008A35FA" w:rsidP="00A16627">
      <w:pPr>
        <w:tabs>
          <w:tab w:val="clear" w:pos="3420"/>
        </w:tabs>
        <w:autoSpaceDE/>
        <w:autoSpaceDN/>
        <w:spacing w:line="240" w:lineRule="auto"/>
        <w:rPr>
          <w:b/>
        </w:rPr>
      </w:pPr>
    </w:p>
    <w:p w:rsidR="008136A1" w:rsidRPr="000A692A" w:rsidRDefault="00786023" w:rsidP="00A16627">
      <w:pPr>
        <w:tabs>
          <w:tab w:val="clear" w:pos="3420"/>
        </w:tabs>
        <w:autoSpaceDE/>
        <w:autoSpaceDN/>
        <w:spacing w:line="240" w:lineRule="auto"/>
        <w:rPr>
          <w:b/>
        </w:rPr>
      </w:pPr>
      <w:r w:rsidRPr="000A692A">
        <w:rPr>
          <w:b/>
        </w:rPr>
        <w:t xml:space="preserve">1. </w:t>
      </w:r>
      <w:r w:rsidR="00531AD0" w:rsidRPr="000A692A">
        <w:rPr>
          <w:b/>
        </w:rPr>
        <w:t>Soluciones ante Derechos F</w:t>
      </w:r>
      <w:r w:rsidRPr="000A692A">
        <w:rPr>
          <w:b/>
        </w:rPr>
        <w:t>undamentales en conflicto: la dogmática jurídica “como una visión más de la catedral”.</w:t>
      </w:r>
    </w:p>
    <w:p w:rsidR="008136A1" w:rsidRPr="000A692A" w:rsidRDefault="008136A1" w:rsidP="00A16627">
      <w:pPr>
        <w:tabs>
          <w:tab w:val="clear" w:pos="3420"/>
        </w:tabs>
        <w:autoSpaceDE/>
        <w:autoSpaceDN/>
        <w:spacing w:line="240" w:lineRule="auto"/>
      </w:pPr>
    </w:p>
    <w:p w:rsidR="00786023" w:rsidRPr="000A692A" w:rsidRDefault="008136A1" w:rsidP="00A16627">
      <w:pPr>
        <w:tabs>
          <w:tab w:val="clear" w:pos="3420"/>
        </w:tabs>
        <w:autoSpaceDE/>
        <w:autoSpaceDN/>
        <w:spacing w:line="240" w:lineRule="auto"/>
      </w:pPr>
      <w:r w:rsidRPr="000A692A">
        <w:t>El trabajo es un medio para la realización del ser humano y, sin duda, contribuye a su dignificación. No obstante, determinadas “actividades profesionales” pueden ser calificadas como indignas</w:t>
      </w:r>
      <w:r w:rsidR="00251CF6">
        <w:t xml:space="preserve"> (por su alta connotación vejatoria)</w:t>
      </w:r>
      <w:r w:rsidRPr="000A692A">
        <w:t xml:space="preserve"> y, por ello, </w:t>
      </w:r>
      <w:r w:rsidR="000D568C">
        <w:t xml:space="preserve">es razonable pensar que </w:t>
      </w:r>
      <w:r w:rsidRPr="000A692A">
        <w:t xml:space="preserve">la sociedad </w:t>
      </w:r>
      <w:r w:rsidR="000D568C">
        <w:t xml:space="preserve">debe evaluar </w:t>
      </w:r>
      <w:r w:rsidR="008153CD" w:rsidRPr="000A692A">
        <w:t>si deben ser prohibidas o no</w:t>
      </w:r>
      <w:r w:rsidRPr="000A692A">
        <w:t xml:space="preserve">. </w:t>
      </w:r>
    </w:p>
    <w:p w:rsidR="00786023" w:rsidRPr="000A692A" w:rsidRDefault="00786023" w:rsidP="00A16627">
      <w:pPr>
        <w:tabs>
          <w:tab w:val="clear" w:pos="3420"/>
        </w:tabs>
        <w:autoSpaceDE/>
        <w:autoSpaceDN/>
        <w:spacing w:line="240" w:lineRule="auto"/>
      </w:pPr>
    </w:p>
    <w:p w:rsidR="00154DD3" w:rsidRDefault="00251CF6" w:rsidP="00A16627">
      <w:pPr>
        <w:tabs>
          <w:tab w:val="clear" w:pos="3420"/>
        </w:tabs>
        <w:autoSpaceDE/>
        <w:autoSpaceDN/>
        <w:spacing w:line="240" w:lineRule="auto"/>
      </w:pPr>
      <w:r>
        <w:t xml:space="preserve">Sin embargo, </w:t>
      </w:r>
      <w:r w:rsidR="008153CD" w:rsidRPr="000A692A">
        <w:t>el Legislador</w:t>
      </w:r>
      <w:r w:rsidR="00431F0C">
        <w:t>,</w:t>
      </w:r>
      <w:r w:rsidR="008153CD" w:rsidRPr="000A692A">
        <w:t xml:space="preserve"> en </w:t>
      </w:r>
      <w:r w:rsidR="00154DD3">
        <w:t>algunos</w:t>
      </w:r>
      <w:r w:rsidR="008153CD" w:rsidRPr="000A692A">
        <w:t xml:space="preserve"> casos</w:t>
      </w:r>
      <w:r w:rsidR="00431F0C">
        <w:t>,</w:t>
      </w:r>
      <w:r w:rsidR="008153CD" w:rsidRPr="000A692A">
        <w:t xml:space="preserve"> </w:t>
      </w:r>
      <w:r w:rsidR="002F550B">
        <w:t>ha obviado este juicio, lo que ha derivado en una</w:t>
      </w:r>
      <w:r w:rsidR="008153CD" w:rsidRPr="000A692A">
        <w:t xml:space="preserve"> </w:t>
      </w:r>
      <w:r w:rsidR="002F550B">
        <w:t>total</w:t>
      </w:r>
      <w:r>
        <w:t xml:space="preserve"> </w:t>
      </w:r>
      <w:r w:rsidR="008153CD" w:rsidRPr="000A692A">
        <w:t xml:space="preserve">inhibición normativa. Esta </w:t>
      </w:r>
      <w:r w:rsidR="008136A1" w:rsidRPr="000A692A">
        <w:t xml:space="preserve">inexistencia de </w:t>
      </w:r>
      <w:r w:rsidR="008153CD" w:rsidRPr="000A692A">
        <w:t xml:space="preserve">regulación </w:t>
      </w:r>
      <w:r w:rsidR="008136A1" w:rsidRPr="000A692A">
        <w:t>explícita</w:t>
      </w:r>
      <w:r w:rsidR="008153CD" w:rsidRPr="000A692A">
        <w:t xml:space="preserve"> </w:t>
      </w:r>
      <w:r w:rsidR="008136A1" w:rsidRPr="000A692A">
        <w:t>ha forzado la intervención de los Tribunales, pues, lamentablemente, el conflicto entre el derecho al trabajo (y a la libre elección de oficio) y la dignidad humana está presente en n</w:t>
      </w:r>
      <w:r w:rsidR="00F17CF5" w:rsidRPr="000A692A">
        <w:t>umerosas situaciones.</w:t>
      </w:r>
      <w:r w:rsidR="0064780D">
        <w:t xml:space="preserve"> </w:t>
      </w:r>
    </w:p>
    <w:p w:rsidR="00154DD3" w:rsidRDefault="00154DD3" w:rsidP="00A16627">
      <w:pPr>
        <w:tabs>
          <w:tab w:val="clear" w:pos="3420"/>
        </w:tabs>
        <w:autoSpaceDE/>
        <w:autoSpaceDN/>
        <w:spacing w:line="240" w:lineRule="auto"/>
      </w:pPr>
    </w:p>
    <w:p w:rsidR="0064780D" w:rsidRDefault="00154DD3" w:rsidP="00A16627">
      <w:pPr>
        <w:tabs>
          <w:tab w:val="clear" w:pos="3420"/>
        </w:tabs>
        <w:autoSpaceDE/>
        <w:autoSpaceDN/>
        <w:spacing w:line="240" w:lineRule="auto"/>
      </w:pPr>
      <w:r>
        <w:t xml:space="preserve">Probablemente, el ejemplo más ilustrativo de esta situación es </w:t>
      </w:r>
      <w:r w:rsidR="0064780D">
        <w:t xml:space="preserve">la </w:t>
      </w:r>
      <w:r w:rsidR="002F550B">
        <w:t>“</w:t>
      </w:r>
      <w:r w:rsidR="00253874">
        <w:t>actividad profesional</w:t>
      </w:r>
      <w:r w:rsidR="002F550B">
        <w:t>”</w:t>
      </w:r>
      <w:r w:rsidR="00253874">
        <w:t xml:space="preserve"> de “alterne/</w:t>
      </w:r>
      <w:r w:rsidR="0064780D">
        <w:t>prostitución</w:t>
      </w:r>
      <w:r w:rsidR="002F550B">
        <w:t>”</w:t>
      </w:r>
      <w:r>
        <w:t xml:space="preserve">, aunque </w:t>
      </w:r>
      <w:r w:rsidR="00E1546D">
        <w:t>no es el único</w:t>
      </w:r>
      <w:r w:rsidR="00431F0C">
        <w:t xml:space="preserve"> (como expondremos)</w:t>
      </w:r>
      <w:r w:rsidR="0064780D">
        <w:t xml:space="preserve">. </w:t>
      </w:r>
    </w:p>
    <w:p w:rsidR="0064780D" w:rsidRDefault="0064780D" w:rsidP="00A16627">
      <w:pPr>
        <w:tabs>
          <w:tab w:val="clear" w:pos="3420"/>
        </w:tabs>
        <w:autoSpaceDE/>
        <w:autoSpaceDN/>
        <w:spacing w:line="240" w:lineRule="auto"/>
      </w:pPr>
    </w:p>
    <w:p w:rsidR="00BE5C05" w:rsidRDefault="000D568C" w:rsidP="00A16627">
      <w:pPr>
        <w:tabs>
          <w:tab w:val="clear" w:pos="3420"/>
        </w:tabs>
        <w:autoSpaceDE/>
        <w:autoSpaceDN/>
        <w:spacing w:line="240" w:lineRule="auto"/>
      </w:pPr>
      <w:r>
        <w:t>La</w:t>
      </w:r>
      <w:r w:rsidR="00BE5C05">
        <w:t xml:space="preserve"> respuesta judicial a estos heterogéneos supuestos de – evidente – vejación humana (pues,</w:t>
      </w:r>
      <w:r w:rsidR="00BE5C05" w:rsidRPr="000A692A">
        <w:t xml:space="preserve"> el “cuerpo humano”</w:t>
      </w:r>
      <w:r w:rsidR="00BE5C05">
        <w:t xml:space="preserve"> en su concepción más elemental</w:t>
      </w:r>
      <w:r w:rsidR="00BE5C05" w:rsidRPr="000A692A">
        <w:t xml:space="preserve"> es</w:t>
      </w:r>
      <w:r w:rsidR="00BE5C05">
        <w:t xml:space="preserve"> </w:t>
      </w:r>
      <w:r w:rsidR="00BE5C05" w:rsidRPr="000A692A">
        <w:t>literalmente objeto de comercio</w:t>
      </w:r>
      <w:r w:rsidR="00BE5C05">
        <w:t>), resulta cuanto menos compleja, dado que</w:t>
      </w:r>
      <w:r w:rsidR="00BE5C05" w:rsidRPr="000A692A">
        <w:t xml:space="preserve"> destila un grado de tolerancia</w:t>
      </w:r>
      <w:r w:rsidR="00BE5C05" w:rsidRPr="00BE5C05">
        <w:t xml:space="preserve"> </w:t>
      </w:r>
      <w:r w:rsidR="00BE5C05" w:rsidRPr="000A692A">
        <w:t>desigual</w:t>
      </w:r>
      <w:r w:rsidR="00BE5C05">
        <w:t>.</w:t>
      </w:r>
    </w:p>
    <w:p w:rsidR="00531AD0" w:rsidRPr="000A692A" w:rsidRDefault="00531AD0" w:rsidP="00A16627">
      <w:pPr>
        <w:tabs>
          <w:tab w:val="clear" w:pos="3420"/>
        </w:tabs>
        <w:autoSpaceDE/>
        <w:autoSpaceDN/>
        <w:spacing w:line="240" w:lineRule="auto"/>
      </w:pPr>
    </w:p>
    <w:p w:rsidR="002F4FC2" w:rsidRDefault="002F4FC2" w:rsidP="00A16627">
      <w:pPr>
        <w:tabs>
          <w:tab w:val="clear" w:pos="3420"/>
        </w:tabs>
        <w:autoSpaceDE/>
        <w:autoSpaceDN/>
        <w:spacing w:line="240" w:lineRule="auto"/>
      </w:pPr>
      <w:r>
        <w:t xml:space="preserve">Circunstancia que merece ser analizada. </w:t>
      </w:r>
    </w:p>
    <w:p w:rsidR="002F4FC2" w:rsidRDefault="002F4FC2" w:rsidP="00A16627">
      <w:pPr>
        <w:tabs>
          <w:tab w:val="clear" w:pos="3420"/>
        </w:tabs>
        <w:autoSpaceDE/>
        <w:autoSpaceDN/>
        <w:spacing w:line="240" w:lineRule="auto"/>
      </w:pPr>
    </w:p>
    <w:p w:rsidR="009103A7" w:rsidRPr="000A692A" w:rsidRDefault="009103A7" w:rsidP="009103A7">
      <w:pPr>
        <w:spacing w:line="240" w:lineRule="auto"/>
      </w:pPr>
      <w:r w:rsidRPr="000A692A">
        <w:t>Tratando de abstenernos de i</w:t>
      </w:r>
      <w:r w:rsidR="00100CE5" w:rsidRPr="000A692A">
        <w:t xml:space="preserve">mplicaciones morales y éticas, nuestras aspiraciones </w:t>
      </w:r>
      <w:r w:rsidR="00426C5D">
        <w:t xml:space="preserve">en este ensayo </w:t>
      </w:r>
      <w:r w:rsidR="00100CE5" w:rsidRPr="000A692A">
        <w:t>son ciertamente modestas</w:t>
      </w:r>
      <w:r w:rsidRPr="000A692A">
        <w:t>, pues, no pretendemos aportar “la solución” a este</w:t>
      </w:r>
      <w:r w:rsidR="00786023" w:rsidRPr="000A692A">
        <w:t xml:space="preserve"> tipo de</w:t>
      </w:r>
      <w:r w:rsidRPr="000A692A">
        <w:t xml:space="preserve"> conflicto</w:t>
      </w:r>
      <w:r w:rsidR="002F550B">
        <w:t>s</w:t>
      </w:r>
      <w:r w:rsidRPr="000A692A">
        <w:t xml:space="preserve">. Partiendo de la base que las circunstancias presentes en cada situación son claramente diferentes, </w:t>
      </w:r>
      <w:r w:rsidR="00100CE5" w:rsidRPr="000A692A">
        <w:t xml:space="preserve">nos proponemos </w:t>
      </w:r>
      <w:r w:rsidRPr="000A692A">
        <w:t xml:space="preserve">evaluar, precisamente, estas </w:t>
      </w:r>
      <w:r w:rsidRPr="000A692A">
        <w:lastRenderedPageBreak/>
        <w:t>particularidades y, a partir de las mismas, llevar a cabo una aproximación crítica que permita delimitar los marcos conceptuales gen</w:t>
      </w:r>
      <w:r w:rsidR="00431F0C">
        <w:t>erales o líneas de tendencia</w:t>
      </w:r>
      <w:r w:rsidRPr="000A692A">
        <w:t xml:space="preserve"> sobre los que basculan tales pronunciamientos.</w:t>
      </w:r>
    </w:p>
    <w:p w:rsidR="009103A7" w:rsidRPr="000A692A" w:rsidRDefault="009103A7" w:rsidP="009103A7">
      <w:pPr>
        <w:spacing w:line="240" w:lineRule="auto"/>
      </w:pPr>
    </w:p>
    <w:p w:rsidR="009103A7" w:rsidRPr="000A692A" w:rsidRDefault="00786023" w:rsidP="009103A7">
      <w:pPr>
        <w:spacing w:line="240" w:lineRule="auto"/>
      </w:pPr>
      <w:r w:rsidRPr="000A692A">
        <w:t xml:space="preserve">Y, adelantado parte de nuestra valoración final, </w:t>
      </w:r>
      <w:r w:rsidR="00431F0C">
        <w:t xml:space="preserve">a pesar de que </w:t>
      </w:r>
      <w:r w:rsidR="00431F0C" w:rsidRPr="00431F0C">
        <w:rPr>
          <w:i/>
        </w:rPr>
        <w:t>a priori</w:t>
      </w:r>
      <w:r w:rsidR="00431F0C">
        <w:t xml:space="preserve"> todas estas actividades </w:t>
      </w:r>
      <w:r w:rsidR="00431F0C" w:rsidRPr="00431F0C">
        <w:rPr>
          <w:i/>
        </w:rPr>
        <w:t>parecen ser</w:t>
      </w:r>
      <w:r w:rsidR="00431F0C">
        <w:t xml:space="preserve"> socialmente inasumibles, </w:t>
      </w:r>
      <w:r w:rsidRPr="000A692A">
        <w:t>e</w:t>
      </w:r>
      <w:r w:rsidR="009103A7" w:rsidRPr="000A692A">
        <w:t>s probable que</w:t>
      </w:r>
      <w:r w:rsidR="00431F0C">
        <w:t xml:space="preserve"> </w:t>
      </w:r>
      <w:r w:rsidR="009103A7" w:rsidRPr="000A692A">
        <w:t>esta heterogénea respuesta judicial sea una proyección del distinto grado de repugnancia social que cada una de estas actividades suscitan</w:t>
      </w:r>
      <w:r w:rsidR="00543F2E">
        <w:t xml:space="preserve"> (y, por ende, </w:t>
      </w:r>
      <w:r w:rsidR="000D568C">
        <w:t xml:space="preserve">de </w:t>
      </w:r>
      <w:r w:rsidR="00543F2E">
        <w:t>su nivel de tolerancia)</w:t>
      </w:r>
      <w:r w:rsidR="009103A7" w:rsidRPr="000A692A">
        <w:t>.</w:t>
      </w:r>
    </w:p>
    <w:p w:rsidR="009103A7" w:rsidRPr="000A692A" w:rsidRDefault="009103A7" w:rsidP="009103A7">
      <w:pPr>
        <w:spacing w:line="240" w:lineRule="auto"/>
      </w:pPr>
    </w:p>
    <w:p w:rsidR="002F4FC2" w:rsidRDefault="009103A7" w:rsidP="009103A7">
      <w:pPr>
        <w:spacing w:line="240" w:lineRule="auto"/>
      </w:pPr>
      <w:r w:rsidRPr="000A692A">
        <w:t>No obstante, una aproximación rigurosa a este escenario de conflicto desvela una realidad con múltiples aristas y, sobre todo, heterogéneas perspectivas. Especialmente, porque sería – a nuestro entender – un</w:t>
      </w:r>
      <w:r w:rsidR="00F21465">
        <w:t xml:space="preserve"> </w:t>
      </w:r>
      <w:r w:rsidRPr="000A692A">
        <w:t xml:space="preserve">error asumir que </w:t>
      </w:r>
      <w:r w:rsidR="003E6A0C" w:rsidRPr="000A692A">
        <w:t xml:space="preserve">el Derecho, como ciencia, </w:t>
      </w:r>
      <w:r w:rsidRPr="000A692A">
        <w:t xml:space="preserve">tiene previsto un único discurso para hacer frente </w:t>
      </w:r>
      <w:r w:rsidR="003E6A0C" w:rsidRPr="000A692A">
        <w:t>a estos</w:t>
      </w:r>
      <w:r w:rsidR="00100CE5" w:rsidRPr="000A692A">
        <w:t xml:space="preserve"> problemas</w:t>
      </w:r>
      <w:r w:rsidR="003E6A0C" w:rsidRPr="000A692A">
        <w:t xml:space="preserve">. </w:t>
      </w:r>
      <w:r w:rsidR="00786023" w:rsidRPr="000A692A">
        <w:t xml:space="preserve">Nada más lejos de la realidad. </w:t>
      </w:r>
    </w:p>
    <w:p w:rsidR="002F4FC2" w:rsidRDefault="002F4FC2" w:rsidP="009103A7">
      <w:pPr>
        <w:spacing w:line="240" w:lineRule="auto"/>
      </w:pPr>
    </w:p>
    <w:p w:rsidR="003E6A0C" w:rsidRPr="000A692A" w:rsidRDefault="009103A7" w:rsidP="009103A7">
      <w:pPr>
        <w:spacing w:line="240" w:lineRule="auto"/>
      </w:pPr>
      <w:r w:rsidRPr="000A692A">
        <w:t xml:space="preserve">El objeto de este breve ensayo </w:t>
      </w:r>
      <w:r w:rsidR="002F4FC2">
        <w:t xml:space="preserve">consiste precisamente en </w:t>
      </w:r>
      <w:r w:rsidRPr="000A692A">
        <w:t xml:space="preserve">trata de evidenciar que, en paralelo a la dogmática jurídica </w:t>
      </w:r>
      <w:r w:rsidR="00786023" w:rsidRPr="000A692A">
        <w:t xml:space="preserve">– si se nos permite - </w:t>
      </w:r>
      <w:r w:rsidRPr="000A692A">
        <w:t xml:space="preserve">de raíz </w:t>
      </w:r>
      <w:r w:rsidR="00100CE5" w:rsidRPr="000A692A">
        <w:t>“</w:t>
      </w:r>
      <w:r w:rsidRPr="000A692A">
        <w:t>clásica</w:t>
      </w:r>
      <w:r w:rsidR="00100CE5" w:rsidRPr="000A692A">
        <w:t>” (o formalismo jurídico)</w:t>
      </w:r>
      <w:r w:rsidRPr="000A692A">
        <w:t xml:space="preserve">, </w:t>
      </w:r>
      <w:r w:rsidR="002F4FC2">
        <w:t xml:space="preserve">y predominante en el Derecho del Trabajo y de la Seguridad Social, </w:t>
      </w:r>
      <w:r w:rsidRPr="000A692A">
        <w:t xml:space="preserve">existen otras corrientes </w:t>
      </w:r>
      <w:r w:rsidR="002F4FC2">
        <w:t>analíticas</w:t>
      </w:r>
      <w:r w:rsidRPr="000A692A">
        <w:t xml:space="preserve"> que</w:t>
      </w:r>
      <w:r w:rsidR="000D568C">
        <w:t xml:space="preserve"> </w:t>
      </w:r>
      <w:r w:rsidRPr="000A692A">
        <w:t xml:space="preserve">tienen un enorme potencial </w:t>
      </w:r>
      <w:r w:rsidR="002F4FC2">
        <w:t>explicativo</w:t>
      </w:r>
      <w:r w:rsidRPr="000A692A">
        <w:t xml:space="preserve"> en el ámbito de los Derechos Fundamentales y un predicamento creciente entre la academia. Nos referimos, concretamente, al </w:t>
      </w:r>
      <w:proofErr w:type="spellStart"/>
      <w:r w:rsidRPr="000A692A">
        <w:rPr>
          <w:i/>
        </w:rPr>
        <w:t>Law</w:t>
      </w:r>
      <w:proofErr w:type="spellEnd"/>
      <w:r w:rsidRPr="000A692A">
        <w:rPr>
          <w:i/>
        </w:rPr>
        <w:t xml:space="preserve"> &amp; </w:t>
      </w:r>
      <w:proofErr w:type="spellStart"/>
      <w:r w:rsidRPr="000A692A">
        <w:rPr>
          <w:i/>
        </w:rPr>
        <w:t>Economics</w:t>
      </w:r>
      <w:proofErr w:type="spellEnd"/>
      <w:r w:rsidR="00786023" w:rsidRPr="000A692A">
        <w:rPr>
          <w:rStyle w:val="Refernciadenotaapeudepgina"/>
        </w:rPr>
        <w:footnoteReference w:id="2"/>
      </w:r>
      <w:r w:rsidRPr="000A692A">
        <w:t>.</w:t>
      </w:r>
    </w:p>
    <w:p w:rsidR="009103A7" w:rsidRPr="000A692A" w:rsidRDefault="009103A7" w:rsidP="009103A7">
      <w:pPr>
        <w:spacing w:line="240" w:lineRule="auto"/>
      </w:pPr>
    </w:p>
    <w:p w:rsidR="009103A7" w:rsidRPr="000A692A" w:rsidRDefault="0001679C" w:rsidP="009103A7">
      <w:pPr>
        <w:spacing w:line="240" w:lineRule="auto"/>
      </w:pPr>
      <w:r w:rsidRPr="000A692A">
        <w:t xml:space="preserve">Es evidente que desde un punto de vista metodológico, esta aproximación exige un discurso propedéutico previo. No obstante, por razones de espacio no podemos hacer referencia a </w:t>
      </w:r>
      <w:r w:rsidR="00100CE5" w:rsidRPr="000A692A">
        <w:t>tales importantes cuestiones</w:t>
      </w:r>
      <w:r w:rsidRPr="000A692A">
        <w:t xml:space="preserve">, </w:t>
      </w:r>
      <w:r w:rsidR="00100CE5" w:rsidRPr="000A692A">
        <w:t xml:space="preserve">viéndonos forzados, </w:t>
      </w:r>
      <w:r w:rsidRPr="000A692A">
        <w:t>simplemente, a exponer los eleme</w:t>
      </w:r>
      <w:r w:rsidR="002F4FC2">
        <w:t xml:space="preserve">ntos más significativos para la descripción </w:t>
      </w:r>
      <w:r w:rsidRPr="000A692A">
        <w:t xml:space="preserve">de nuestra hipótesis de trabajo y posterior exposición. Esperamos que el lector sepa comprender </w:t>
      </w:r>
      <w:r w:rsidR="002F4FC2">
        <w:t xml:space="preserve">los motivos de </w:t>
      </w:r>
      <w:r w:rsidRPr="000A692A">
        <w:t>estas limitaciones en nuestro discurso</w:t>
      </w:r>
      <w:r w:rsidR="00786023" w:rsidRPr="000A692A">
        <w:t>, especialmente porque están</w:t>
      </w:r>
      <w:r w:rsidRPr="000A692A">
        <w:t xml:space="preserve"> motivadas única y exclusivamente por la constricción que un trabajo de estas características impone. </w:t>
      </w:r>
    </w:p>
    <w:p w:rsidR="008153CD" w:rsidRPr="000A692A" w:rsidRDefault="008153CD" w:rsidP="00A16627">
      <w:pPr>
        <w:spacing w:line="240" w:lineRule="auto"/>
      </w:pPr>
    </w:p>
    <w:p w:rsidR="00223D95" w:rsidRPr="000A692A" w:rsidRDefault="008329DF" w:rsidP="00A16627">
      <w:pPr>
        <w:spacing w:line="240" w:lineRule="auto"/>
        <w:rPr>
          <w:b/>
        </w:rPr>
      </w:pPr>
      <w:r w:rsidRPr="000A692A">
        <w:rPr>
          <w:b/>
        </w:rPr>
        <w:t xml:space="preserve">2. </w:t>
      </w:r>
      <w:r w:rsidR="00C200D5" w:rsidRPr="000A692A">
        <w:rPr>
          <w:b/>
        </w:rPr>
        <w:t>El cuerpo</w:t>
      </w:r>
      <w:r w:rsidR="007A650C" w:rsidRPr="000A692A">
        <w:rPr>
          <w:b/>
        </w:rPr>
        <w:t xml:space="preserve"> humano, contrato de trabajo y principios de integridad </w:t>
      </w:r>
      <w:r w:rsidR="001530A3">
        <w:rPr>
          <w:b/>
        </w:rPr>
        <w:t>e indisponibilidad</w:t>
      </w:r>
      <w:r w:rsidR="005E1554">
        <w:rPr>
          <w:b/>
        </w:rPr>
        <w:t>.</w:t>
      </w:r>
    </w:p>
    <w:p w:rsidR="00223D95" w:rsidRPr="000A692A" w:rsidRDefault="00223D95" w:rsidP="00A16627">
      <w:pPr>
        <w:spacing w:line="240" w:lineRule="auto"/>
        <w:rPr>
          <w:b/>
        </w:rPr>
      </w:pPr>
    </w:p>
    <w:p w:rsidR="002A3591" w:rsidRPr="000A692A" w:rsidRDefault="00C7787C" w:rsidP="00A16627">
      <w:pPr>
        <w:widowControl w:val="0"/>
        <w:tabs>
          <w:tab w:val="clear" w:pos="3420"/>
        </w:tabs>
        <w:adjustRightInd w:val="0"/>
        <w:spacing w:line="240" w:lineRule="auto"/>
        <w:rPr>
          <w:rFonts w:eastAsiaTheme="minorEastAsia"/>
        </w:rPr>
      </w:pPr>
      <w:r w:rsidRPr="000A692A">
        <w:rPr>
          <w:rFonts w:eastAsiaTheme="minorEastAsia"/>
        </w:rPr>
        <w:t xml:space="preserve">En la medida que el cuerpo humano constituye el objeto del contrato de trabajo, es lógico </w:t>
      </w:r>
      <w:r w:rsidR="0009626C" w:rsidRPr="000A692A">
        <w:rPr>
          <w:rFonts w:eastAsiaTheme="minorEastAsia"/>
        </w:rPr>
        <w:t xml:space="preserve">(e irremediable) </w:t>
      </w:r>
      <w:r w:rsidRPr="000A692A">
        <w:rPr>
          <w:rFonts w:eastAsiaTheme="minorEastAsia"/>
        </w:rPr>
        <w:t>que la dignidad se coloque en el centro del Derecho del Trabajo</w:t>
      </w:r>
      <w:r w:rsidRPr="000A692A">
        <w:rPr>
          <w:rStyle w:val="Refernciadenotaapeudepgina"/>
          <w:rFonts w:eastAsiaTheme="minorEastAsia"/>
        </w:rPr>
        <w:footnoteReference w:id="3"/>
      </w:r>
      <w:r w:rsidRPr="000A692A">
        <w:rPr>
          <w:rFonts w:eastAsiaTheme="minorEastAsia"/>
        </w:rPr>
        <w:t>. Si est</w:t>
      </w:r>
      <w:r w:rsidR="00945CA5" w:rsidRPr="000A692A">
        <w:rPr>
          <w:rFonts w:eastAsiaTheme="minorEastAsia"/>
        </w:rPr>
        <w:t>a rama del ordenamiento emerge</w:t>
      </w:r>
      <w:r w:rsidRPr="000A692A">
        <w:rPr>
          <w:rFonts w:eastAsiaTheme="minorEastAsia"/>
        </w:rPr>
        <w:t xml:space="preserve"> con el propósito de garantizar </w:t>
      </w:r>
      <w:r w:rsidR="00100CE5" w:rsidRPr="000A692A">
        <w:rPr>
          <w:rFonts w:eastAsiaTheme="minorEastAsia"/>
        </w:rPr>
        <w:t xml:space="preserve">literalmente </w:t>
      </w:r>
      <w:r w:rsidRPr="000A692A">
        <w:rPr>
          <w:rFonts w:eastAsiaTheme="minorEastAsia"/>
        </w:rPr>
        <w:t>la supervivencia</w:t>
      </w:r>
      <w:r w:rsidR="00F21465">
        <w:rPr>
          <w:rFonts w:eastAsiaTheme="minorEastAsia"/>
        </w:rPr>
        <w:t xml:space="preserve"> </w:t>
      </w:r>
      <w:r w:rsidR="00100CE5" w:rsidRPr="000A692A">
        <w:rPr>
          <w:rFonts w:eastAsiaTheme="minorEastAsia"/>
        </w:rPr>
        <w:t>biológica</w:t>
      </w:r>
      <w:r w:rsidR="002265E6" w:rsidRPr="000A692A">
        <w:rPr>
          <w:rFonts w:eastAsiaTheme="minorEastAsia"/>
        </w:rPr>
        <w:t xml:space="preserve"> </w:t>
      </w:r>
      <w:r w:rsidRPr="000A692A">
        <w:rPr>
          <w:rFonts w:eastAsiaTheme="minorEastAsia"/>
        </w:rPr>
        <w:t>del trabajador (y de su familia)</w:t>
      </w:r>
      <w:r w:rsidR="00945CA5" w:rsidRPr="000A692A">
        <w:rPr>
          <w:rStyle w:val="Refernciadenotaapeudepgina"/>
          <w:rFonts w:eastAsiaTheme="minorEastAsia"/>
        </w:rPr>
        <w:footnoteReference w:id="4"/>
      </w:r>
      <w:r w:rsidRPr="000A692A">
        <w:rPr>
          <w:rFonts w:eastAsiaTheme="minorEastAsia"/>
        </w:rPr>
        <w:t>, es claro que existe una intrínseca e inseparable correlación entre el trabajo por cuenta ajena y la dignidad del ser humano</w:t>
      </w:r>
      <w:r w:rsidR="00754D58" w:rsidRPr="000A692A">
        <w:rPr>
          <w:rStyle w:val="Refernciadenotaapeudepgina"/>
          <w:rFonts w:eastAsiaTheme="minorEastAsia"/>
        </w:rPr>
        <w:footnoteReference w:id="5"/>
      </w:r>
      <w:r w:rsidRPr="000A692A">
        <w:rPr>
          <w:rFonts w:eastAsiaTheme="minorEastAsia"/>
        </w:rPr>
        <w:t>.</w:t>
      </w:r>
      <w:r w:rsidR="006574D5" w:rsidRPr="000A692A">
        <w:rPr>
          <w:rFonts w:eastAsiaTheme="minorEastAsia"/>
        </w:rPr>
        <w:t xml:space="preserve"> </w:t>
      </w:r>
    </w:p>
    <w:p w:rsidR="00945CA5" w:rsidRPr="000A692A" w:rsidRDefault="00945CA5" w:rsidP="00A16627">
      <w:pPr>
        <w:widowControl w:val="0"/>
        <w:tabs>
          <w:tab w:val="clear" w:pos="3420"/>
        </w:tabs>
        <w:adjustRightInd w:val="0"/>
        <w:spacing w:line="240" w:lineRule="auto"/>
        <w:rPr>
          <w:rFonts w:eastAsiaTheme="minorEastAsia"/>
        </w:rPr>
      </w:pPr>
    </w:p>
    <w:p w:rsidR="000D568C" w:rsidRDefault="00B80B98" w:rsidP="00A16627">
      <w:pPr>
        <w:widowControl w:val="0"/>
        <w:tabs>
          <w:tab w:val="clear" w:pos="3420"/>
        </w:tabs>
        <w:adjustRightInd w:val="0"/>
        <w:spacing w:line="240" w:lineRule="auto"/>
        <w:rPr>
          <w:rFonts w:eastAsiaTheme="minorEastAsia"/>
        </w:rPr>
      </w:pPr>
      <w:r w:rsidRPr="000A692A">
        <w:rPr>
          <w:rFonts w:eastAsiaTheme="minorEastAsia"/>
        </w:rPr>
        <w:t xml:space="preserve">Y, es esta singularísima particularidad del contrato de trabajo la que está en la raíz </w:t>
      </w:r>
      <w:r w:rsidRPr="000A692A">
        <w:rPr>
          <w:rFonts w:eastAsiaTheme="minorEastAsia"/>
        </w:rPr>
        <w:lastRenderedPageBreak/>
        <w:t>misma de</w:t>
      </w:r>
      <w:r w:rsidR="000D568C">
        <w:rPr>
          <w:rFonts w:eastAsiaTheme="minorEastAsia"/>
        </w:rPr>
        <w:t xml:space="preserve"> esta rama del ordenamiento</w:t>
      </w:r>
      <w:r w:rsidRPr="000A692A">
        <w:rPr>
          <w:rFonts w:eastAsiaTheme="minorEastAsia"/>
        </w:rPr>
        <w:t xml:space="preserve">. </w:t>
      </w:r>
      <w:r w:rsidR="006574D5" w:rsidRPr="000A692A">
        <w:rPr>
          <w:rFonts w:eastAsiaTheme="minorEastAsia"/>
        </w:rPr>
        <w:t xml:space="preserve">Desde esta perspectiva no debe sorprender que las primeras medidas legislativas </w:t>
      </w:r>
      <w:r w:rsidR="000D568C">
        <w:rPr>
          <w:rFonts w:eastAsiaTheme="minorEastAsia"/>
        </w:rPr>
        <w:t xml:space="preserve">de carácter social fueran </w:t>
      </w:r>
      <w:r w:rsidR="006574D5" w:rsidRPr="000A692A">
        <w:rPr>
          <w:rFonts w:eastAsiaTheme="minorEastAsia"/>
        </w:rPr>
        <w:t>dirigidas a la limitación de la jornada de trabajo de mujeres y niños, así como de una protección frente a los accidentes de trabajo</w:t>
      </w:r>
      <w:r w:rsidR="007F0901" w:rsidRPr="000A692A">
        <w:rPr>
          <w:rFonts w:eastAsiaTheme="minorEastAsia"/>
        </w:rPr>
        <w:t xml:space="preserve"> para proteger la integridad de los trabajadores</w:t>
      </w:r>
      <w:r w:rsidR="006574D5" w:rsidRPr="000A692A">
        <w:rPr>
          <w:rFonts w:eastAsiaTheme="minorEastAsia"/>
        </w:rPr>
        <w:t xml:space="preserve">. Como apunta SUPIOT (1999, p. 23), </w:t>
      </w:r>
      <w:r w:rsidRPr="000A692A">
        <w:rPr>
          <w:rFonts w:eastAsiaTheme="minorEastAsia"/>
        </w:rPr>
        <w:t xml:space="preserve">sin solución de continuidad desde entonces, </w:t>
      </w:r>
      <w:r w:rsidR="006574D5" w:rsidRPr="000A692A">
        <w:rPr>
          <w:rFonts w:eastAsiaTheme="minorEastAsia"/>
        </w:rPr>
        <w:t xml:space="preserve">los problemas de salud y seguridad han tenido una </w:t>
      </w:r>
      <w:r w:rsidR="000D568C">
        <w:rPr>
          <w:rFonts w:eastAsiaTheme="minorEastAsia"/>
        </w:rPr>
        <w:t xml:space="preserve">clara </w:t>
      </w:r>
      <w:r w:rsidR="002A3591" w:rsidRPr="000A692A">
        <w:rPr>
          <w:rFonts w:eastAsiaTheme="minorEastAsia"/>
        </w:rPr>
        <w:t>“</w:t>
      </w:r>
      <w:r w:rsidR="006574D5" w:rsidRPr="000A692A">
        <w:rPr>
          <w:rFonts w:eastAsiaTheme="minorEastAsia"/>
        </w:rPr>
        <w:t>función de motor</w:t>
      </w:r>
      <w:r w:rsidR="002A3591" w:rsidRPr="000A692A">
        <w:rPr>
          <w:rFonts w:eastAsiaTheme="minorEastAsia"/>
        </w:rPr>
        <w:t>”</w:t>
      </w:r>
      <w:r w:rsidR="005E1554">
        <w:rPr>
          <w:rFonts w:eastAsiaTheme="minorEastAsia"/>
        </w:rPr>
        <w:t>, conformando lo que podría denominarse como “principio de integridad”</w:t>
      </w:r>
      <w:r w:rsidR="000D568C">
        <w:rPr>
          <w:rFonts w:eastAsiaTheme="minorEastAsia"/>
        </w:rPr>
        <w:t xml:space="preserve">. </w:t>
      </w:r>
    </w:p>
    <w:p w:rsidR="000D568C" w:rsidRDefault="000D568C" w:rsidP="00A16627">
      <w:pPr>
        <w:widowControl w:val="0"/>
        <w:tabs>
          <w:tab w:val="clear" w:pos="3420"/>
        </w:tabs>
        <w:adjustRightInd w:val="0"/>
        <w:spacing w:line="240" w:lineRule="auto"/>
        <w:rPr>
          <w:rFonts w:eastAsiaTheme="minorEastAsia"/>
        </w:rPr>
      </w:pPr>
    </w:p>
    <w:p w:rsidR="00B80B98" w:rsidRPr="000A692A" w:rsidRDefault="000D568C" w:rsidP="00A16627">
      <w:pPr>
        <w:widowControl w:val="0"/>
        <w:tabs>
          <w:tab w:val="clear" w:pos="3420"/>
        </w:tabs>
        <w:adjustRightInd w:val="0"/>
        <w:spacing w:line="240" w:lineRule="auto"/>
        <w:rPr>
          <w:rFonts w:eastAsiaTheme="minorEastAsia"/>
        </w:rPr>
      </w:pPr>
      <w:r>
        <w:rPr>
          <w:rFonts w:eastAsiaTheme="minorEastAsia"/>
        </w:rPr>
        <w:t xml:space="preserve">Sin embargo, esta particularidad no sólo ha estado presente en el </w:t>
      </w:r>
      <w:r w:rsidR="006574D5" w:rsidRPr="000A692A">
        <w:rPr>
          <w:rFonts w:eastAsiaTheme="minorEastAsia"/>
        </w:rPr>
        <w:t>seno del derecho del trabajo</w:t>
      </w:r>
      <w:r w:rsidR="002A3591" w:rsidRPr="000A692A">
        <w:rPr>
          <w:rFonts w:eastAsiaTheme="minorEastAsia"/>
        </w:rPr>
        <w:t>,</w:t>
      </w:r>
      <w:r w:rsidR="006574D5" w:rsidRPr="000A692A">
        <w:rPr>
          <w:rFonts w:eastAsiaTheme="minorEastAsia"/>
        </w:rPr>
        <w:t xml:space="preserve"> sino también </w:t>
      </w:r>
      <w:r>
        <w:rPr>
          <w:rFonts w:eastAsiaTheme="minorEastAsia"/>
        </w:rPr>
        <w:t>lo está, y de forma muy</w:t>
      </w:r>
      <w:r w:rsidR="003A4358">
        <w:rPr>
          <w:rFonts w:eastAsiaTheme="minorEastAsia"/>
        </w:rPr>
        <w:t xml:space="preserve"> </w:t>
      </w:r>
      <w:r w:rsidRPr="000A692A">
        <w:rPr>
          <w:rFonts w:eastAsiaTheme="minorEastAsia"/>
        </w:rPr>
        <w:t>particular</w:t>
      </w:r>
      <w:r>
        <w:rPr>
          <w:rFonts w:eastAsiaTheme="minorEastAsia"/>
        </w:rPr>
        <w:t xml:space="preserve">, </w:t>
      </w:r>
      <w:r w:rsidR="006574D5" w:rsidRPr="000A692A">
        <w:rPr>
          <w:rFonts w:eastAsiaTheme="minorEastAsia"/>
        </w:rPr>
        <w:t xml:space="preserve">en </w:t>
      </w:r>
      <w:r w:rsidR="005374E7" w:rsidRPr="000A692A">
        <w:rPr>
          <w:rFonts w:eastAsiaTheme="minorEastAsia"/>
        </w:rPr>
        <w:t>otros ámbitos del derecho</w:t>
      </w:r>
      <w:r>
        <w:rPr>
          <w:rFonts w:eastAsiaTheme="minorEastAsia"/>
        </w:rPr>
        <w:t xml:space="preserve">, como el </w:t>
      </w:r>
      <w:r w:rsidR="006574D5" w:rsidRPr="000A692A">
        <w:rPr>
          <w:rFonts w:eastAsiaTheme="minorEastAsia"/>
        </w:rPr>
        <w:t>mercantil</w:t>
      </w:r>
      <w:r>
        <w:rPr>
          <w:rFonts w:eastAsiaTheme="minorEastAsia"/>
        </w:rPr>
        <w:t xml:space="preserve">, dado que </w:t>
      </w:r>
      <w:r w:rsidR="006574D5" w:rsidRPr="000A692A">
        <w:rPr>
          <w:rFonts w:eastAsiaTheme="minorEastAsia"/>
        </w:rPr>
        <w:t>la libre circulación de mercancías puede verse limitada si afecta a la salud de las personas.</w:t>
      </w:r>
      <w:r w:rsidR="002A3591" w:rsidRPr="000A692A">
        <w:rPr>
          <w:rFonts w:eastAsiaTheme="minorEastAsia"/>
        </w:rPr>
        <w:t xml:space="preserve"> O, </w:t>
      </w:r>
      <w:r w:rsidR="00B80B98" w:rsidRPr="000A692A">
        <w:rPr>
          <w:rFonts w:eastAsiaTheme="minorEastAsia"/>
        </w:rPr>
        <w:t>dicho de otro modo,</w:t>
      </w:r>
      <w:r w:rsidR="00EF6D5E" w:rsidRPr="000A692A">
        <w:rPr>
          <w:rFonts w:eastAsiaTheme="minorEastAsia"/>
        </w:rPr>
        <w:t xml:space="preserve"> en esta rama del ordenamiento</w:t>
      </w:r>
      <w:r w:rsidR="002A3591" w:rsidRPr="000A692A">
        <w:rPr>
          <w:rFonts w:eastAsiaTheme="minorEastAsia"/>
        </w:rPr>
        <w:t>,</w:t>
      </w:r>
      <w:r w:rsidR="00B80B98" w:rsidRPr="000A692A">
        <w:rPr>
          <w:rFonts w:eastAsiaTheme="minorEastAsia"/>
        </w:rPr>
        <w:t xml:space="preserve"> </w:t>
      </w:r>
      <w:r w:rsidR="006E427E">
        <w:rPr>
          <w:rFonts w:eastAsiaTheme="minorEastAsia"/>
        </w:rPr>
        <w:t xml:space="preserve">estos </w:t>
      </w:r>
      <w:r>
        <w:rPr>
          <w:rFonts w:eastAsiaTheme="minorEastAsia"/>
        </w:rPr>
        <w:t>problemas de seguridad y salud</w:t>
      </w:r>
      <w:r w:rsidRPr="000A692A">
        <w:rPr>
          <w:rFonts w:eastAsiaTheme="minorEastAsia"/>
        </w:rPr>
        <w:t xml:space="preserve"> </w:t>
      </w:r>
      <w:r w:rsidR="005E1554">
        <w:rPr>
          <w:rFonts w:eastAsiaTheme="minorEastAsia"/>
        </w:rPr>
        <w:t xml:space="preserve">tienen </w:t>
      </w:r>
      <w:r>
        <w:rPr>
          <w:rFonts w:eastAsiaTheme="minorEastAsia"/>
        </w:rPr>
        <w:t xml:space="preserve">capacidad </w:t>
      </w:r>
      <w:r w:rsidR="006E427E">
        <w:rPr>
          <w:rFonts w:eastAsiaTheme="minorEastAsia"/>
        </w:rPr>
        <w:t xml:space="preserve">para </w:t>
      </w:r>
      <w:r>
        <w:rPr>
          <w:rFonts w:eastAsiaTheme="minorEastAsia"/>
        </w:rPr>
        <w:t xml:space="preserve">constreñir </w:t>
      </w:r>
      <w:r w:rsidR="002A3591" w:rsidRPr="000A692A">
        <w:rPr>
          <w:rFonts w:eastAsiaTheme="minorEastAsia"/>
        </w:rPr>
        <w:t>la libertad de comercio</w:t>
      </w:r>
      <w:r w:rsidR="006E427E">
        <w:rPr>
          <w:rFonts w:eastAsiaTheme="minorEastAsia"/>
        </w:rPr>
        <w:t>,</w:t>
      </w:r>
      <w:r w:rsidR="002A3591" w:rsidRPr="000A692A">
        <w:rPr>
          <w:rFonts w:eastAsiaTheme="minorEastAsia"/>
        </w:rPr>
        <w:t xml:space="preserve"> </w:t>
      </w:r>
      <w:r>
        <w:rPr>
          <w:rFonts w:eastAsiaTheme="minorEastAsia"/>
        </w:rPr>
        <w:t xml:space="preserve">dado que conforman </w:t>
      </w:r>
      <w:r w:rsidR="005E1554">
        <w:rPr>
          <w:rFonts w:eastAsiaTheme="minorEastAsia"/>
        </w:rPr>
        <w:t xml:space="preserve">nuclearmente </w:t>
      </w:r>
      <w:r>
        <w:rPr>
          <w:rFonts w:eastAsiaTheme="minorEastAsia"/>
        </w:rPr>
        <w:t>el principio de orden público</w:t>
      </w:r>
      <w:r w:rsidR="005E1554">
        <w:rPr>
          <w:rFonts w:eastAsiaTheme="minorEastAsia"/>
        </w:rPr>
        <w:t>, dando vida al “principio de indisponibilidad mercantil”</w:t>
      </w:r>
      <w:r>
        <w:rPr>
          <w:rFonts w:eastAsiaTheme="minorEastAsia"/>
        </w:rPr>
        <w:t>.</w:t>
      </w:r>
    </w:p>
    <w:p w:rsidR="00A16627" w:rsidRPr="000A692A" w:rsidRDefault="00A16627" w:rsidP="00A16627">
      <w:pPr>
        <w:widowControl w:val="0"/>
        <w:tabs>
          <w:tab w:val="clear" w:pos="3420"/>
        </w:tabs>
        <w:adjustRightInd w:val="0"/>
        <w:spacing w:line="240" w:lineRule="auto"/>
        <w:rPr>
          <w:rFonts w:eastAsiaTheme="minorEastAsia"/>
        </w:rPr>
      </w:pPr>
    </w:p>
    <w:p w:rsidR="006E427E" w:rsidRDefault="00B80B98" w:rsidP="00A16627">
      <w:pPr>
        <w:widowControl w:val="0"/>
        <w:tabs>
          <w:tab w:val="clear" w:pos="3420"/>
        </w:tabs>
        <w:adjustRightInd w:val="0"/>
        <w:spacing w:line="240" w:lineRule="auto"/>
        <w:rPr>
          <w:rFonts w:eastAsiaTheme="minorEastAsia"/>
        </w:rPr>
      </w:pPr>
      <w:r w:rsidRPr="000A692A">
        <w:rPr>
          <w:rFonts w:eastAsiaTheme="minorEastAsia"/>
        </w:rPr>
        <w:t xml:space="preserve">Desde esta perspectiva (siguiendo a SUPIOT, 1999, p. 23 y 24), el </w:t>
      </w:r>
      <w:r w:rsidR="00CB05A3" w:rsidRPr="000A692A">
        <w:rPr>
          <w:rFonts w:eastAsiaTheme="minorEastAsia"/>
        </w:rPr>
        <w:t>“</w:t>
      </w:r>
      <w:r w:rsidRPr="000A692A">
        <w:rPr>
          <w:rFonts w:eastAsiaTheme="minorEastAsia"/>
        </w:rPr>
        <w:t>cuerpo humano</w:t>
      </w:r>
      <w:r w:rsidR="00CB05A3" w:rsidRPr="000A692A">
        <w:rPr>
          <w:rFonts w:eastAsiaTheme="minorEastAsia"/>
        </w:rPr>
        <w:t>”</w:t>
      </w:r>
      <w:r w:rsidRPr="000A692A">
        <w:rPr>
          <w:rFonts w:eastAsiaTheme="minorEastAsia"/>
        </w:rPr>
        <w:t xml:space="preserve"> compromete dos tipos de intereses que </w:t>
      </w:r>
      <w:r w:rsidR="002A3591" w:rsidRPr="000A692A">
        <w:rPr>
          <w:rFonts w:eastAsiaTheme="minorEastAsia"/>
        </w:rPr>
        <w:t>“</w:t>
      </w:r>
      <w:r w:rsidRPr="000A692A">
        <w:rPr>
          <w:rFonts w:eastAsiaTheme="minorEastAsia"/>
        </w:rPr>
        <w:t>no se dejan reducir a un puro análisis contractual</w:t>
      </w:r>
      <w:r w:rsidR="002A3591" w:rsidRPr="000A692A">
        <w:rPr>
          <w:rFonts w:eastAsiaTheme="minorEastAsia"/>
        </w:rPr>
        <w:t>”</w:t>
      </w:r>
      <w:r w:rsidR="006E427E">
        <w:rPr>
          <w:rFonts w:eastAsiaTheme="minorEastAsia"/>
        </w:rPr>
        <w:t>:</w:t>
      </w:r>
      <w:r w:rsidRPr="000A692A">
        <w:rPr>
          <w:rFonts w:eastAsiaTheme="minorEastAsia"/>
        </w:rPr>
        <w:t xml:space="preserve"> </w:t>
      </w:r>
    </w:p>
    <w:p w:rsidR="006E427E" w:rsidRDefault="006E427E" w:rsidP="00A16627">
      <w:pPr>
        <w:widowControl w:val="0"/>
        <w:tabs>
          <w:tab w:val="clear" w:pos="3420"/>
        </w:tabs>
        <w:adjustRightInd w:val="0"/>
        <w:spacing w:line="240" w:lineRule="auto"/>
        <w:rPr>
          <w:rFonts w:eastAsiaTheme="minorEastAsia"/>
        </w:rPr>
      </w:pPr>
    </w:p>
    <w:p w:rsidR="006E427E" w:rsidRDefault="00B80B98" w:rsidP="00A16627">
      <w:pPr>
        <w:widowControl w:val="0"/>
        <w:tabs>
          <w:tab w:val="clear" w:pos="3420"/>
        </w:tabs>
        <w:adjustRightInd w:val="0"/>
        <w:spacing w:line="240" w:lineRule="auto"/>
        <w:rPr>
          <w:rFonts w:eastAsiaTheme="minorEastAsia"/>
        </w:rPr>
      </w:pPr>
      <w:r w:rsidRPr="000A692A">
        <w:rPr>
          <w:rFonts w:eastAsiaTheme="minorEastAsia"/>
        </w:rPr>
        <w:t xml:space="preserve">En primer lugar, hay un </w:t>
      </w:r>
      <w:r w:rsidR="005E1554">
        <w:rPr>
          <w:rFonts w:eastAsiaTheme="minorEastAsia"/>
        </w:rPr>
        <w:t>“</w:t>
      </w:r>
      <w:r w:rsidRPr="000A692A">
        <w:rPr>
          <w:rFonts w:eastAsiaTheme="minorEastAsia"/>
        </w:rPr>
        <w:t>interés de orden público</w:t>
      </w:r>
      <w:r w:rsidR="005E1554">
        <w:rPr>
          <w:rFonts w:eastAsiaTheme="minorEastAsia"/>
        </w:rPr>
        <w:t>”</w:t>
      </w:r>
      <w:r w:rsidRPr="000A692A">
        <w:rPr>
          <w:rFonts w:eastAsiaTheme="minorEastAsia"/>
        </w:rPr>
        <w:t xml:space="preserve">, pues, más allá de la persona física singular, el cuerpo humano, en la medida que delimita un “sustrato físico de la nación”, es por excelencia un objeto del que los Estados no pueden desinteresarse, porque de él depende su propia existencia. </w:t>
      </w:r>
    </w:p>
    <w:p w:rsidR="006E427E" w:rsidRDefault="006E427E" w:rsidP="00A16627">
      <w:pPr>
        <w:widowControl w:val="0"/>
        <w:tabs>
          <w:tab w:val="clear" w:pos="3420"/>
        </w:tabs>
        <w:adjustRightInd w:val="0"/>
        <w:spacing w:line="240" w:lineRule="auto"/>
        <w:rPr>
          <w:rFonts w:eastAsiaTheme="minorEastAsia"/>
        </w:rPr>
      </w:pPr>
    </w:p>
    <w:p w:rsidR="005818A0" w:rsidRDefault="00CB05A3" w:rsidP="00A16627">
      <w:pPr>
        <w:widowControl w:val="0"/>
        <w:tabs>
          <w:tab w:val="clear" w:pos="3420"/>
        </w:tabs>
        <w:adjustRightInd w:val="0"/>
        <w:spacing w:line="240" w:lineRule="auto"/>
        <w:rPr>
          <w:rFonts w:eastAsiaTheme="minorEastAsia"/>
        </w:rPr>
      </w:pPr>
      <w:r w:rsidRPr="000A692A">
        <w:rPr>
          <w:rFonts w:eastAsiaTheme="minorEastAsia"/>
        </w:rPr>
        <w:t xml:space="preserve">En segundo lugar, hay “intereses de orden </w:t>
      </w:r>
      <w:proofErr w:type="spellStart"/>
      <w:r w:rsidRPr="000A692A">
        <w:rPr>
          <w:rFonts w:eastAsiaTheme="minorEastAsia"/>
        </w:rPr>
        <w:t>extrapatrimonial</w:t>
      </w:r>
      <w:proofErr w:type="spellEnd"/>
      <w:r w:rsidRPr="000A692A">
        <w:rPr>
          <w:rFonts w:eastAsiaTheme="minorEastAsia"/>
        </w:rPr>
        <w:t>”</w:t>
      </w:r>
      <w:r w:rsidR="00734A44" w:rsidRPr="000A692A">
        <w:rPr>
          <w:rFonts w:eastAsiaTheme="minorEastAsia"/>
        </w:rPr>
        <w:t>, pues, en nuestra tradición jurídica</w:t>
      </w:r>
      <w:r w:rsidR="002A3591" w:rsidRPr="000A692A">
        <w:rPr>
          <w:rFonts w:eastAsiaTheme="minorEastAsia"/>
        </w:rPr>
        <w:t>,</w:t>
      </w:r>
      <w:r w:rsidR="00734A44" w:rsidRPr="000A692A">
        <w:rPr>
          <w:rFonts w:eastAsiaTheme="minorEastAsia"/>
        </w:rPr>
        <w:t xml:space="preserve"> </w:t>
      </w:r>
      <w:r w:rsidR="001A3D3B">
        <w:rPr>
          <w:rFonts w:eastAsiaTheme="minorEastAsia"/>
        </w:rPr>
        <w:t xml:space="preserve">como se ha apuntado, </w:t>
      </w:r>
      <w:r w:rsidR="00734A44" w:rsidRPr="000A692A">
        <w:rPr>
          <w:rFonts w:eastAsiaTheme="minorEastAsia"/>
        </w:rPr>
        <w:t xml:space="preserve">el cuerpo humano ha sido objeto de un tratamiento normativo particular, </w:t>
      </w:r>
      <w:r w:rsidR="002A3591" w:rsidRPr="000A692A">
        <w:rPr>
          <w:rFonts w:eastAsiaTheme="minorEastAsia"/>
        </w:rPr>
        <w:t>al q</w:t>
      </w:r>
      <w:r w:rsidR="00734A44" w:rsidRPr="000A692A">
        <w:rPr>
          <w:rFonts w:eastAsiaTheme="minorEastAsia"/>
        </w:rPr>
        <w:t>ueda</w:t>
      </w:r>
      <w:r w:rsidR="002A3591" w:rsidRPr="000A692A">
        <w:rPr>
          <w:rFonts w:eastAsiaTheme="minorEastAsia"/>
        </w:rPr>
        <w:t xml:space="preserve">r </w:t>
      </w:r>
      <w:r w:rsidR="00734A44" w:rsidRPr="000A692A">
        <w:rPr>
          <w:rFonts w:eastAsiaTheme="minorEastAsia"/>
        </w:rPr>
        <w:t xml:space="preserve">fuera del comercio. </w:t>
      </w:r>
      <w:r w:rsidR="000D568C">
        <w:rPr>
          <w:rFonts w:eastAsiaTheme="minorEastAsia"/>
        </w:rPr>
        <w:t>Es decir,</w:t>
      </w:r>
      <w:r w:rsidR="00734A44" w:rsidRPr="000A692A">
        <w:rPr>
          <w:rFonts w:eastAsiaTheme="minorEastAsia"/>
        </w:rPr>
        <w:t xml:space="preserve"> se ha visto afectado por el </w:t>
      </w:r>
      <w:r w:rsidR="005E1554">
        <w:rPr>
          <w:rFonts w:eastAsiaTheme="minorEastAsia"/>
        </w:rPr>
        <w:t xml:space="preserve">- citado - </w:t>
      </w:r>
      <w:r w:rsidR="00734A44" w:rsidRPr="000A692A">
        <w:rPr>
          <w:rFonts w:eastAsiaTheme="minorEastAsia"/>
        </w:rPr>
        <w:t>“principio de indisponibilidad mercantil”, no pudiendo ser objeto de negocio. Y, como apunta el citado autor (1999, p. 24) es “este principio el que implica la existencia, en el corazón mismo del contrato de trabajo, de un núcleo de derechos no negociables por el que el sujeto (el asalariado) compromete su persona, y no sólo su patrimonio, en</w:t>
      </w:r>
      <w:r w:rsidR="005818A0">
        <w:rPr>
          <w:rFonts w:eastAsiaTheme="minorEastAsia"/>
        </w:rPr>
        <w:t xml:space="preserve"> la ejecución de este contrato”. </w:t>
      </w:r>
    </w:p>
    <w:p w:rsidR="00A16627" w:rsidRPr="000A692A" w:rsidRDefault="00A16627" w:rsidP="00A16627">
      <w:pPr>
        <w:widowControl w:val="0"/>
        <w:tabs>
          <w:tab w:val="clear" w:pos="3420"/>
        </w:tabs>
        <w:adjustRightInd w:val="0"/>
        <w:spacing w:line="240" w:lineRule="auto"/>
        <w:rPr>
          <w:rFonts w:eastAsiaTheme="minorEastAsia"/>
        </w:rPr>
      </w:pPr>
    </w:p>
    <w:p w:rsidR="005E1554" w:rsidRDefault="002A3591" w:rsidP="00A16627">
      <w:pPr>
        <w:widowControl w:val="0"/>
        <w:tabs>
          <w:tab w:val="clear" w:pos="3420"/>
        </w:tabs>
        <w:adjustRightInd w:val="0"/>
        <w:spacing w:line="240" w:lineRule="auto"/>
        <w:rPr>
          <w:rFonts w:eastAsiaTheme="minorEastAsia"/>
        </w:rPr>
      </w:pPr>
      <w:r w:rsidRPr="000A692A">
        <w:rPr>
          <w:rFonts w:eastAsiaTheme="minorEastAsia"/>
        </w:rPr>
        <w:t>La acción combinada de estos dos intereses provoca que la necesidad de p</w:t>
      </w:r>
      <w:r w:rsidR="00ED2675" w:rsidRPr="000A692A">
        <w:rPr>
          <w:rFonts w:eastAsiaTheme="minorEastAsia"/>
        </w:rPr>
        <w:t>roteger la salud y la seguridad haya impulsado</w:t>
      </w:r>
      <w:r w:rsidR="006E427E">
        <w:rPr>
          <w:rFonts w:eastAsiaTheme="minorEastAsia"/>
        </w:rPr>
        <w:t>,</w:t>
      </w:r>
      <w:r w:rsidR="00ED2675" w:rsidRPr="000A692A">
        <w:rPr>
          <w:rFonts w:eastAsiaTheme="minorEastAsia"/>
        </w:rPr>
        <w:t xml:space="preserve"> </w:t>
      </w:r>
      <w:r w:rsidR="006E427E">
        <w:rPr>
          <w:rFonts w:eastAsiaTheme="minorEastAsia"/>
        </w:rPr>
        <w:t xml:space="preserve">de un modo constante en la historia reciente, </w:t>
      </w:r>
      <w:r w:rsidR="00ED2675" w:rsidRPr="000A692A">
        <w:rPr>
          <w:rFonts w:eastAsiaTheme="minorEastAsia"/>
        </w:rPr>
        <w:t xml:space="preserve">la </w:t>
      </w:r>
      <w:r w:rsidR="006E427E">
        <w:rPr>
          <w:rFonts w:eastAsiaTheme="minorEastAsia"/>
        </w:rPr>
        <w:t xml:space="preserve">aparición </w:t>
      </w:r>
      <w:r w:rsidR="00ED2675" w:rsidRPr="000A692A">
        <w:rPr>
          <w:rFonts w:eastAsiaTheme="minorEastAsia"/>
        </w:rPr>
        <w:t>de desafíos de interés público y de protección de la vida privada que escapan a la lógica contractual. Lo que, a su vez</w:t>
      </w:r>
      <w:r w:rsidR="001A3D3B">
        <w:rPr>
          <w:rFonts w:eastAsiaTheme="minorEastAsia"/>
        </w:rPr>
        <w:t>,</w:t>
      </w:r>
      <w:r w:rsidR="006E427E">
        <w:rPr>
          <w:rFonts w:eastAsiaTheme="minorEastAsia"/>
        </w:rPr>
        <w:t xml:space="preserve"> ha justificado </w:t>
      </w:r>
      <w:r w:rsidR="00ED2675" w:rsidRPr="000A692A">
        <w:rPr>
          <w:rFonts w:eastAsiaTheme="minorEastAsia"/>
        </w:rPr>
        <w:t>la sumisión del contrato de trabajo a reglas heterónomas</w:t>
      </w:r>
      <w:r w:rsidR="00EF6606" w:rsidRPr="000A692A">
        <w:rPr>
          <w:rFonts w:eastAsiaTheme="minorEastAsia"/>
        </w:rPr>
        <w:t xml:space="preserve"> y, sobre todo, </w:t>
      </w:r>
      <w:r w:rsidR="006E427E">
        <w:rPr>
          <w:rFonts w:eastAsiaTheme="minorEastAsia"/>
        </w:rPr>
        <w:t xml:space="preserve">la imposibilidad de que a través de él se ponga </w:t>
      </w:r>
      <w:r w:rsidR="00EF6606" w:rsidRPr="000A692A">
        <w:rPr>
          <w:rFonts w:eastAsiaTheme="minorEastAsia"/>
        </w:rPr>
        <w:t xml:space="preserve">en peligro la integridad física </w:t>
      </w:r>
      <w:r w:rsidR="006E427E">
        <w:rPr>
          <w:rFonts w:eastAsiaTheme="minorEastAsia"/>
        </w:rPr>
        <w:t xml:space="preserve">y </w:t>
      </w:r>
      <w:r w:rsidR="002265E6" w:rsidRPr="000A692A">
        <w:rPr>
          <w:rFonts w:eastAsiaTheme="minorEastAsia"/>
        </w:rPr>
        <w:t xml:space="preserve">económica </w:t>
      </w:r>
      <w:r w:rsidR="00EF6606" w:rsidRPr="000A692A">
        <w:rPr>
          <w:rFonts w:eastAsiaTheme="minorEastAsia"/>
        </w:rPr>
        <w:t>de los trabajadores</w:t>
      </w:r>
      <w:r w:rsidR="007A650C" w:rsidRPr="000A692A">
        <w:rPr>
          <w:rFonts w:eastAsiaTheme="minorEastAsia"/>
        </w:rPr>
        <w:t xml:space="preserve">. </w:t>
      </w:r>
    </w:p>
    <w:p w:rsidR="005E1554" w:rsidRDefault="005E1554" w:rsidP="00A16627">
      <w:pPr>
        <w:widowControl w:val="0"/>
        <w:tabs>
          <w:tab w:val="clear" w:pos="3420"/>
        </w:tabs>
        <w:adjustRightInd w:val="0"/>
        <w:spacing w:line="240" w:lineRule="auto"/>
        <w:rPr>
          <w:rFonts w:eastAsiaTheme="minorEastAsia"/>
        </w:rPr>
      </w:pPr>
    </w:p>
    <w:p w:rsidR="002A3591" w:rsidRPr="000A692A" w:rsidRDefault="005E1554" w:rsidP="00A16627">
      <w:pPr>
        <w:widowControl w:val="0"/>
        <w:tabs>
          <w:tab w:val="clear" w:pos="3420"/>
        </w:tabs>
        <w:adjustRightInd w:val="0"/>
        <w:spacing w:line="240" w:lineRule="auto"/>
        <w:rPr>
          <w:rFonts w:eastAsiaTheme="minorEastAsia"/>
        </w:rPr>
      </w:pPr>
      <w:r>
        <w:rPr>
          <w:rFonts w:eastAsiaTheme="minorEastAsia"/>
        </w:rPr>
        <w:t>De modo que</w:t>
      </w:r>
      <w:r w:rsidR="001B5F3B" w:rsidRPr="000A692A">
        <w:rPr>
          <w:rFonts w:eastAsiaTheme="minorEastAsia"/>
        </w:rPr>
        <w:t xml:space="preserve"> </w:t>
      </w:r>
      <w:r>
        <w:rPr>
          <w:rFonts w:eastAsiaTheme="minorEastAsia"/>
        </w:rPr>
        <w:t xml:space="preserve">la necesidad de preservar la seguridad y la salud en </w:t>
      </w:r>
      <w:r w:rsidR="007F0901" w:rsidRPr="000A692A">
        <w:rPr>
          <w:rFonts w:eastAsiaTheme="minorEastAsia"/>
        </w:rPr>
        <w:t>esta doble formulación</w:t>
      </w:r>
      <w:r>
        <w:rPr>
          <w:rFonts w:eastAsiaTheme="minorEastAsia"/>
        </w:rPr>
        <w:t xml:space="preserve"> (principios de integridad y de indisponibilidad mercantil)</w:t>
      </w:r>
      <w:r w:rsidR="001B5F3B" w:rsidRPr="000A692A">
        <w:rPr>
          <w:rFonts w:eastAsiaTheme="minorEastAsia"/>
        </w:rPr>
        <w:t>,</w:t>
      </w:r>
      <w:r w:rsidR="007A650C" w:rsidRPr="000A692A">
        <w:rPr>
          <w:rFonts w:eastAsiaTheme="minorEastAsia"/>
        </w:rPr>
        <w:t xml:space="preserve"> en una de las misiones más claras del Estado de Derecho</w:t>
      </w:r>
      <w:r w:rsidR="00ED2675" w:rsidRPr="000A692A">
        <w:rPr>
          <w:rFonts w:eastAsiaTheme="minorEastAsia"/>
        </w:rPr>
        <w:t xml:space="preserve"> (SUPIOT, 1999, p. 24</w:t>
      </w:r>
      <w:r w:rsidR="00EF6606" w:rsidRPr="000A692A">
        <w:rPr>
          <w:rFonts w:eastAsiaTheme="minorEastAsia"/>
        </w:rPr>
        <w:t xml:space="preserve"> y 25</w:t>
      </w:r>
      <w:r w:rsidR="00ED2675" w:rsidRPr="000A692A">
        <w:rPr>
          <w:rFonts w:eastAsiaTheme="minorEastAsia"/>
        </w:rPr>
        <w:t>)</w:t>
      </w:r>
      <w:r w:rsidR="007A650C" w:rsidRPr="000A692A">
        <w:rPr>
          <w:rStyle w:val="Refernciadenotaapeudepgina"/>
          <w:rFonts w:eastAsiaTheme="minorEastAsia"/>
        </w:rPr>
        <w:footnoteReference w:id="6"/>
      </w:r>
      <w:r w:rsidR="002265E6" w:rsidRPr="000A692A">
        <w:rPr>
          <w:rFonts w:eastAsiaTheme="minorEastAsia"/>
        </w:rPr>
        <w:t>.</w:t>
      </w:r>
    </w:p>
    <w:p w:rsidR="00A16627" w:rsidRDefault="00A16627" w:rsidP="00A16627">
      <w:pPr>
        <w:widowControl w:val="0"/>
        <w:tabs>
          <w:tab w:val="clear" w:pos="3420"/>
        </w:tabs>
        <w:adjustRightInd w:val="0"/>
        <w:spacing w:line="240" w:lineRule="auto"/>
      </w:pPr>
    </w:p>
    <w:p w:rsidR="005818A0" w:rsidRPr="005818A0" w:rsidRDefault="005818A0" w:rsidP="00A16627">
      <w:pPr>
        <w:widowControl w:val="0"/>
        <w:tabs>
          <w:tab w:val="clear" w:pos="3420"/>
        </w:tabs>
        <w:adjustRightInd w:val="0"/>
        <w:spacing w:line="240" w:lineRule="auto"/>
        <w:rPr>
          <w:rFonts w:eastAsiaTheme="minorEastAsia"/>
        </w:rPr>
      </w:pPr>
      <w:r>
        <w:rPr>
          <w:rFonts w:eastAsiaTheme="minorEastAsia"/>
        </w:rPr>
        <w:t>Repárese que este e</w:t>
      </w:r>
      <w:r w:rsidRPr="000A692A">
        <w:rPr>
          <w:rFonts w:eastAsiaTheme="minorEastAsia"/>
        </w:rPr>
        <w:t>n</w:t>
      </w:r>
      <w:r>
        <w:rPr>
          <w:rFonts w:eastAsiaTheme="minorEastAsia"/>
        </w:rPr>
        <w:t xml:space="preserve">foque </w:t>
      </w:r>
      <w:r w:rsidR="005E1554">
        <w:rPr>
          <w:rFonts w:eastAsiaTheme="minorEastAsia"/>
        </w:rPr>
        <w:t xml:space="preserve">se alinea </w:t>
      </w:r>
      <w:r>
        <w:rPr>
          <w:rFonts w:eastAsiaTheme="minorEastAsia"/>
        </w:rPr>
        <w:t xml:space="preserve">con el planteamiento conceptual de un sector </w:t>
      </w:r>
      <w:r w:rsidRPr="000A692A">
        <w:rPr>
          <w:rFonts w:eastAsiaTheme="minorEastAsia"/>
        </w:rPr>
        <w:t xml:space="preserve">del </w:t>
      </w:r>
      <w:proofErr w:type="spellStart"/>
      <w:r w:rsidRPr="000A692A">
        <w:rPr>
          <w:rFonts w:eastAsiaTheme="minorEastAsia"/>
          <w:i/>
        </w:rPr>
        <w:lastRenderedPageBreak/>
        <w:t>Law</w:t>
      </w:r>
      <w:proofErr w:type="spellEnd"/>
      <w:r w:rsidRPr="000A692A">
        <w:rPr>
          <w:rFonts w:eastAsiaTheme="minorEastAsia"/>
          <w:i/>
        </w:rPr>
        <w:t xml:space="preserve"> &amp; </w:t>
      </w:r>
      <w:proofErr w:type="spellStart"/>
      <w:r w:rsidRPr="000A692A">
        <w:rPr>
          <w:rFonts w:eastAsiaTheme="minorEastAsia"/>
          <w:i/>
        </w:rPr>
        <w:t>Economics</w:t>
      </w:r>
      <w:proofErr w:type="spellEnd"/>
      <w:r w:rsidRPr="000A692A">
        <w:rPr>
          <w:rFonts w:eastAsiaTheme="minorEastAsia"/>
        </w:rPr>
        <w:t xml:space="preserve"> (corriente normativa) </w:t>
      </w:r>
      <w:r>
        <w:rPr>
          <w:rFonts w:eastAsiaTheme="minorEastAsia"/>
        </w:rPr>
        <w:t xml:space="preserve">que defiende </w:t>
      </w:r>
      <w:r w:rsidRPr="000A692A">
        <w:rPr>
          <w:rFonts w:eastAsiaTheme="minorEastAsia"/>
        </w:rPr>
        <w:t>la existencia de “</w:t>
      </w:r>
      <w:proofErr w:type="spellStart"/>
      <w:r w:rsidRPr="000A692A">
        <w:rPr>
          <w:rFonts w:eastAsiaTheme="minorEastAsia"/>
          <w:i/>
        </w:rPr>
        <w:t>inalienability</w:t>
      </w:r>
      <w:proofErr w:type="spellEnd"/>
      <w:r w:rsidRPr="000A692A">
        <w:rPr>
          <w:rFonts w:eastAsiaTheme="minorEastAsia"/>
          <w:i/>
        </w:rPr>
        <w:t xml:space="preserve"> </w:t>
      </w:r>
      <w:proofErr w:type="spellStart"/>
      <w:r w:rsidRPr="000A692A">
        <w:rPr>
          <w:rFonts w:eastAsiaTheme="minorEastAsia"/>
          <w:i/>
        </w:rPr>
        <w:t>rights</w:t>
      </w:r>
      <w:proofErr w:type="spellEnd"/>
      <w:r w:rsidRPr="000A692A">
        <w:rPr>
          <w:rFonts w:eastAsiaTheme="minorEastAsia"/>
        </w:rPr>
        <w:t>”, como una categoría conceptual referida a derechos que por su naturaleza deben quedar absolutamente excluidos del juego del mercado</w:t>
      </w:r>
      <w:r w:rsidRPr="000A692A">
        <w:rPr>
          <w:rStyle w:val="Refernciadenotaapeudepgina"/>
          <w:rFonts w:eastAsiaTheme="minorEastAsia"/>
        </w:rPr>
        <w:footnoteReference w:id="7"/>
      </w:r>
      <w:r w:rsidRPr="000A692A">
        <w:rPr>
          <w:rFonts w:eastAsiaTheme="minorEastAsia"/>
        </w:rPr>
        <w:t>.</w:t>
      </w:r>
    </w:p>
    <w:p w:rsidR="005818A0" w:rsidRPr="000A692A" w:rsidRDefault="005818A0" w:rsidP="00A16627">
      <w:pPr>
        <w:widowControl w:val="0"/>
        <w:tabs>
          <w:tab w:val="clear" w:pos="3420"/>
        </w:tabs>
        <w:adjustRightInd w:val="0"/>
        <w:spacing w:line="240" w:lineRule="auto"/>
      </w:pPr>
    </w:p>
    <w:p w:rsidR="001B5F3B" w:rsidRPr="000A692A" w:rsidRDefault="002265E6" w:rsidP="00A16627">
      <w:pPr>
        <w:widowControl w:val="0"/>
        <w:tabs>
          <w:tab w:val="clear" w:pos="3420"/>
        </w:tabs>
        <w:adjustRightInd w:val="0"/>
        <w:spacing w:line="240" w:lineRule="auto"/>
        <w:rPr>
          <w:rFonts w:eastAsiaTheme="minorEastAsia"/>
        </w:rPr>
      </w:pPr>
      <w:r w:rsidRPr="000A692A">
        <w:rPr>
          <w:rFonts w:eastAsiaTheme="minorEastAsia"/>
        </w:rPr>
        <w:t>Llegados a este estadio, es incontrovertible l</w:t>
      </w:r>
      <w:r w:rsidR="001B5F3B" w:rsidRPr="000A692A">
        <w:rPr>
          <w:rFonts w:eastAsiaTheme="minorEastAsia"/>
        </w:rPr>
        <w:t xml:space="preserve">a sustancial </w:t>
      </w:r>
      <w:r w:rsidRPr="000A692A">
        <w:rPr>
          <w:rFonts w:eastAsiaTheme="minorEastAsia"/>
        </w:rPr>
        <w:t xml:space="preserve">y natural conexión </w:t>
      </w:r>
      <w:r w:rsidR="001A3D3B">
        <w:rPr>
          <w:rFonts w:eastAsiaTheme="minorEastAsia"/>
        </w:rPr>
        <w:t>entre estos</w:t>
      </w:r>
      <w:r w:rsidR="001B5F3B" w:rsidRPr="000A692A">
        <w:rPr>
          <w:rFonts w:eastAsiaTheme="minorEastAsia"/>
        </w:rPr>
        <w:t xml:space="preserve"> principio</w:t>
      </w:r>
      <w:r w:rsidR="001A3D3B">
        <w:rPr>
          <w:rFonts w:eastAsiaTheme="minorEastAsia"/>
        </w:rPr>
        <w:t>s</w:t>
      </w:r>
      <w:r w:rsidR="001B5F3B" w:rsidRPr="000A692A">
        <w:rPr>
          <w:rFonts w:eastAsiaTheme="minorEastAsia"/>
        </w:rPr>
        <w:t xml:space="preserve"> de integridad </w:t>
      </w:r>
      <w:r w:rsidR="001A3D3B">
        <w:rPr>
          <w:rFonts w:eastAsiaTheme="minorEastAsia"/>
        </w:rPr>
        <w:t xml:space="preserve">e indisponibilidad mercantil </w:t>
      </w:r>
      <w:r w:rsidR="001B5F3B" w:rsidRPr="000A692A">
        <w:rPr>
          <w:rFonts w:eastAsiaTheme="minorEastAsia"/>
        </w:rPr>
        <w:t xml:space="preserve">y la dignidad </w:t>
      </w:r>
      <w:r w:rsidRPr="000A692A">
        <w:rPr>
          <w:rFonts w:eastAsiaTheme="minorEastAsia"/>
        </w:rPr>
        <w:t xml:space="preserve">del ser humano. </w:t>
      </w:r>
    </w:p>
    <w:p w:rsidR="00A16627" w:rsidRPr="000A692A" w:rsidRDefault="00A16627" w:rsidP="00A16627">
      <w:pPr>
        <w:widowControl w:val="0"/>
        <w:tabs>
          <w:tab w:val="clear" w:pos="3420"/>
        </w:tabs>
        <w:adjustRightInd w:val="0"/>
        <w:spacing w:line="240" w:lineRule="auto"/>
        <w:rPr>
          <w:rFonts w:eastAsiaTheme="minorEastAsia"/>
        </w:rPr>
      </w:pPr>
    </w:p>
    <w:p w:rsidR="008A35FA" w:rsidRPr="000A692A" w:rsidRDefault="00AF552D" w:rsidP="00A16627">
      <w:pPr>
        <w:widowControl w:val="0"/>
        <w:tabs>
          <w:tab w:val="clear" w:pos="3420"/>
        </w:tabs>
        <w:adjustRightInd w:val="0"/>
        <w:spacing w:line="240" w:lineRule="auto"/>
        <w:rPr>
          <w:rFonts w:eastAsiaTheme="minorEastAsia"/>
        </w:rPr>
      </w:pPr>
      <w:r w:rsidRPr="000A692A">
        <w:rPr>
          <w:rFonts w:eastAsiaTheme="minorEastAsia"/>
        </w:rPr>
        <w:t xml:space="preserve">La dignidad es un valor jurídico fundamental reconocido en el art. 10.1 CE y constituye una </w:t>
      </w:r>
      <w:r w:rsidRPr="000A692A">
        <w:rPr>
          <w:rFonts w:eastAsiaTheme="minorEastAsia"/>
          <w:iCs/>
        </w:rPr>
        <w:t xml:space="preserve">cualidad ínsita a la persona y, por tanto, “corresponde a todo ser humano con independencia de sus concretas características particulares” </w:t>
      </w:r>
      <w:r w:rsidRPr="000A692A">
        <w:rPr>
          <w:rFonts w:eastAsiaTheme="minorEastAsia"/>
        </w:rPr>
        <w:t xml:space="preserve">(STC 181/2004). </w:t>
      </w:r>
      <w:r w:rsidR="00E27A05" w:rsidRPr="000A692A">
        <w:rPr>
          <w:rFonts w:eastAsiaTheme="minorEastAsia"/>
        </w:rPr>
        <w:t xml:space="preserve">Sin duda, es un </w:t>
      </w:r>
      <w:r w:rsidRPr="000A692A">
        <w:rPr>
          <w:rFonts w:eastAsiaTheme="minorEastAsia"/>
        </w:rPr>
        <w:t>“mínimu</w:t>
      </w:r>
      <w:r w:rsidR="00E27A05" w:rsidRPr="000A692A">
        <w:rPr>
          <w:rFonts w:eastAsiaTheme="minorEastAsia"/>
        </w:rPr>
        <w:t>m invulnerable” (STC 120/1990). Sin pretender teorizar sobre la dimensión de la expresión “dignidad de la persona”, pues, excede con mucho del objeto de este breve ensayo, podemos afirmar parafraseando a GOÑI SEIN (</w:t>
      </w:r>
      <w:r w:rsidR="00C7787C" w:rsidRPr="000A692A">
        <w:rPr>
          <w:rFonts w:eastAsiaTheme="minorEastAsia"/>
        </w:rPr>
        <w:t xml:space="preserve">2014, p. 90 - </w:t>
      </w:r>
      <w:r w:rsidR="00E27A05" w:rsidRPr="000A692A">
        <w:rPr>
          <w:rFonts w:eastAsiaTheme="minorEastAsia"/>
        </w:rPr>
        <w:t xml:space="preserve">que cita a </w:t>
      </w:r>
      <w:r w:rsidR="00C7787C" w:rsidRPr="000A692A">
        <w:rPr>
          <w:rFonts w:eastAsiaTheme="minorEastAsia"/>
        </w:rPr>
        <w:t xml:space="preserve">JIMÉNEZ CAMPO) </w:t>
      </w:r>
      <w:r w:rsidR="00E27A05" w:rsidRPr="000A692A">
        <w:rPr>
          <w:rFonts w:eastAsiaTheme="minorEastAsia"/>
        </w:rPr>
        <w:t>que la dignidad no es un refuerzo retórico que no aporte nada resolutorio</w:t>
      </w:r>
      <w:r w:rsidR="00754D58" w:rsidRPr="000A692A">
        <w:rPr>
          <w:rFonts w:eastAsiaTheme="minorEastAsia"/>
        </w:rPr>
        <w:t>, sino que</w:t>
      </w:r>
      <w:r w:rsidR="008A35FA" w:rsidRPr="000A692A">
        <w:rPr>
          <w:rFonts w:eastAsiaTheme="minorEastAsia"/>
        </w:rPr>
        <w:t>, (siguiendo, de nuevo, con GOÑI SEIN, 2014, p.</w:t>
      </w:r>
      <w:r w:rsidR="00F21465">
        <w:rPr>
          <w:rFonts w:eastAsiaTheme="minorEastAsia"/>
        </w:rPr>
        <w:t xml:space="preserve"> </w:t>
      </w:r>
      <w:r w:rsidR="008A35FA" w:rsidRPr="000A692A">
        <w:rPr>
          <w:rFonts w:eastAsiaTheme="minorEastAsia"/>
        </w:rPr>
        <w:t xml:space="preserve">92 y 93) </w:t>
      </w:r>
      <w:r w:rsidR="00754D58" w:rsidRPr="000A692A">
        <w:rPr>
          <w:rFonts w:eastAsiaTheme="minorEastAsia"/>
        </w:rPr>
        <w:t xml:space="preserve">debe incardinarse en el concepto del “derecho a un trabajo decente”, </w:t>
      </w:r>
      <w:r w:rsidR="007A650C" w:rsidRPr="000A692A">
        <w:rPr>
          <w:rFonts w:eastAsiaTheme="minorEastAsia"/>
        </w:rPr>
        <w:t xml:space="preserve">en los términos defendidos </w:t>
      </w:r>
      <w:r w:rsidR="008A35FA" w:rsidRPr="000A692A">
        <w:rPr>
          <w:rFonts w:eastAsiaTheme="minorEastAsia"/>
        </w:rPr>
        <w:t>por la OIT</w:t>
      </w:r>
      <w:r w:rsidR="00E27A05" w:rsidRPr="000A692A">
        <w:rPr>
          <w:rFonts w:eastAsiaTheme="minorEastAsia"/>
        </w:rPr>
        <w:t>.</w:t>
      </w:r>
      <w:r w:rsidR="008A35FA" w:rsidRPr="000A692A">
        <w:rPr>
          <w:rFonts w:eastAsiaTheme="minorEastAsia"/>
        </w:rPr>
        <w:t xml:space="preserve"> </w:t>
      </w:r>
    </w:p>
    <w:p w:rsidR="00945CA5" w:rsidRPr="000A692A" w:rsidRDefault="00945CA5" w:rsidP="00A16627">
      <w:pPr>
        <w:widowControl w:val="0"/>
        <w:tabs>
          <w:tab w:val="clear" w:pos="3420"/>
        </w:tabs>
        <w:adjustRightInd w:val="0"/>
        <w:spacing w:line="240" w:lineRule="auto"/>
        <w:rPr>
          <w:rFonts w:eastAsiaTheme="minorEastAsia"/>
        </w:rPr>
      </w:pPr>
    </w:p>
    <w:p w:rsidR="00C7787C" w:rsidRPr="000A692A" w:rsidRDefault="008A35FA" w:rsidP="00A16627">
      <w:pPr>
        <w:widowControl w:val="0"/>
        <w:tabs>
          <w:tab w:val="clear" w:pos="3420"/>
        </w:tabs>
        <w:adjustRightInd w:val="0"/>
        <w:spacing w:line="240" w:lineRule="auto"/>
        <w:rPr>
          <w:rFonts w:eastAsiaTheme="minorEastAsia"/>
        </w:rPr>
      </w:pPr>
      <w:r w:rsidRPr="000A692A">
        <w:rPr>
          <w:rFonts w:eastAsiaTheme="minorEastAsia"/>
        </w:rPr>
        <w:t xml:space="preserve">La crisis económica y financiera ha arrojado a las listas del paro a un número de desempleados </w:t>
      </w:r>
      <w:r w:rsidR="001A3D3B">
        <w:rPr>
          <w:rFonts w:eastAsiaTheme="minorEastAsia"/>
        </w:rPr>
        <w:t>masivo</w:t>
      </w:r>
      <w:r w:rsidRPr="000A692A">
        <w:rPr>
          <w:rFonts w:eastAsiaTheme="minorEastAsia"/>
        </w:rPr>
        <w:t>, lo que</w:t>
      </w:r>
      <w:r w:rsidR="00EF6D5E" w:rsidRPr="000A692A">
        <w:rPr>
          <w:rFonts w:eastAsiaTheme="minorEastAsia"/>
        </w:rPr>
        <w:t>, en paralelo,</w:t>
      </w:r>
      <w:r w:rsidRPr="000A692A">
        <w:rPr>
          <w:rFonts w:eastAsiaTheme="minorEastAsia"/>
        </w:rPr>
        <w:t xml:space="preserve"> ha comportado la erupción de </w:t>
      </w:r>
      <w:r w:rsidR="00600F26" w:rsidRPr="000A692A">
        <w:rPr>
          <w:rFonts w:eastAsiaTheme="minorEastAsia"/>
        </w:rPr>
        <w:t xml:space="preserve">numerosas </w:t>
      </w:r>
      <w:r w:rsidRPr="000A692A">
        <w:rPr>
          <w:rFonts w:eastAsiaTheme="minorEastAsia"/>
        </w:rPr>
        <w:t xml:space="preserve">formas contemporáneas de esclavitud laboral </w:t>
      </w:r>
      <w:r w:rsidR="007A650C" w:rsidRPr="000A692A">
        <w:rPr>
          <w:rFonts w:eastAsiaTheme="minorEastAsia"/>
        </w:rPr>
        <w:t>a un espectro de luz hasta la fecha invisible</w:t>
      </w:r>
      <w:r w:rsidRPr="000A692A">
        <w:rPr>
          <w:rFonts w:eastAsiaTheme="minorEastAsia"/>
        </w:rPr>
        <w:t xml:space="preserve">. </w:t>
      </w:r>
    </w:p>
    <w:p w:rsidR="00A16627" w:rsidRPr="000A692A" w:rsidRDefault="00A16627" w:rsidP="00A16627">
      <w:pPr>
        <w:widowControl w:val="0"/>
        <w:tabs>
          <w:tab w:val="clear" w:pos="3420"/>
        </w:tabs>
        <w:adjustRightInd w:val="0"/>
        <w:spacing w:line="240" w:lineRule="auto"/>
        <w:rPr>
          <w:rFonts w:eastAsiaTheme="minorEastAsia"/>
        </w:rPr>
      </w:pPr>
    </w:p>
    <w:p w:rsidR="007A650C" w:rsidRPr="000A692A" w:rsidRDefault="008A35FA" w:rsidP="00A16627">
      <w:pPr>
        <w:widowControl w:val="0"/>
        <w:tabs>
          <w:tab w:val="clear" w:pos="3420"/>
        </w:tabs>
        <w:adjustRightInd w:val="0"/>
        <w:spacing w:line="240" w:lineRule="auto"/>
        <w:rPr>
          <w:rFonts w:eastAsiaTheme="minorEastAsia"/>
        </w:rPr>
      </w:pPr>
      <w:r w:rsidRPr="000A692A">
        <w:rPr>
          <w:rFonts w:eastAsiaTheme="minorEastAsia"/>
        </w:rPr>
        <w:t>No obstante, sin pretender menospreciar el dramatismo de todas y cada una de las personas afectadas</w:t>
      </w:r>
      <w:r w:rsidR="005B0131" w:rsidRPr="000A692A">
        <w:rPr>
          <w:rFonts w:eastAsiaTheme="minorEastAsia"/>
        </w:rPr>
        <w:t xml:space="preserve"> por este fenómeno</w:t>
      </w:r>
      <w:r w:rsidRPr="000A692A">
        <w:rPr>
          <w:rFonts w:eastAsiaTheme="minorEastAsia"/>
        </w:rPr>
        <w:t>, s</w:t>
      </w:r>
      <w:r w:rsidR="005B0131" w:rsidRPr="000A692A">
        <w:rPr>
          <w:rFonts w:eastAsiaTheme="minorEastAsia"/>
        </w:rPr>
        <w:t>ubsisten “</w:t>
      </w:r>
      <w:r w:rsidR="00600F26" w:rsidRPr="000A692A">
        <w:rPr>
          <w:rFonts w:eastAsiaTheme="minorEastAsia"/>
        </w:rPr>
        <w:t>fenómenos espectrales</w:t>
      </w:r>
      <w:r w:rsidR="005B0131" w:rsidRPr="000A692A">
        <w:rPr>
          <w:rFonts w:eastAsiaTheme="minorEastAsia"/>
        </w:rPr>
        <w:t xml:space="preserve">” </w:t>
      </w:r>
      <w:r w:rsidRPr="000A692A">
        <w:rPr>
          <w:rFonts w:eastAsiaTheme="minorEastAsia"/>
        </w:rPr>
        <w:t xml:space="preserve">que, pese a su crueldad, permanecen en una frecuencia invisible. Y, es sobre ellos sobre los que </w:t>
      </w:r>
      <w:r w:rsidR="005818A0">
        <w:rPr>
          <w:rFonts w:eastAsiaTheme="minorEastAsia"/>
        </w:rPr>
        <w:t>centraremos</w:t>
      </w:r>
      <w:r w:rsidRPr="000A692A">
        <w:rPr>
          <w:rFonts w:eastAsiaTheme="minorEastAsia"/>
        </w:rPr>
        <w:t xml:space="preserve"> el objeto de nuestro estudio, especialmente porque</w:t>
      </w:r>
      <w:r w:rsidR="000E3D3F" w:rsidRPr="000A692A">
        <w:rPr>
          <w:rFonts w:eastAsiaTheme="minorEastAsia"/>
        </w:rPr>
        <w:t xml:space="preserve"> – con toda su crudeza - marcan lit</w:t>
      </w:r>
      <w:r w:rsidR="007A650C" w:rsidRPr="000A692A">
        <w:rPr>
          <w:rFonts w:eastAsiaTheme="minorEastAsia"/>
        </w:rPr>
        <w:t>eralmente la línea de frontera y el punto de vulnerabilidad máxima del principio de integridad</w:t>
      </w:r>
      <w:r w:rsidR="00EF6D5E" w:rsidRPr="000A692A">
        <w:rPr>
          <w:rFonts w:eastAsiaTheme="minorEastAsia"/>
        </w:rPr>
        <w:t xml:space="preserve"> y, consiguientemente, de intensa debilidad del principio de indisponibilidad mercantil.</w:t>
      </w:r>
      <w:r w:rsidR="00600F26" w:rsidRPr="000A692A">
        <w:rPr>
          <w:rFonts w:eastAsiaTheme="minorEastAsia"/>
        </w:rPr>
        <w:t xml:space="preserve"> Lo que, a la luz de lo expuesto, probablemente, tenga un </w:t>
      </w:r>
      <w:r w:rsidR="00100CE5" w:rsidRPr="000A692A">
        <w:rPr>
          <w:rFonts w:eastAsiaTheme="minorEastAsia"/>
        </w:rPr>
        <w:t xml:space="preserve">(claro) </w:t>
      </w:r>
      <w:r w:rsidR="00600F26" w:rsidRPr="000A692A">
        <w:rPr>
          <w:rFonts w:eastAsiaTheme="minorEastAsia"/>
        </w:rPr>
        <w:t>efecto corrosivo sobre la línea de flotación de</w:t>
      </w:r>
      <w:r w:rsidR="00100CE5" w:rsidRPr="000A692A">
        <w:rPr>
          <w:rFonts w:eastAsiaTheme="minorEastAsia"/>
        </w:rPr>
        <w:t xml:space="preserve"> nuestro </w:t>
      </w:r>
      <w:r w:rsidR="00600F26" w:rsidRPr="000A692A">
        <w:rPr>
          <w:rFonts w:eastAsiaTheme="minorEastAsia"/>
        </w:rPr>
        <w:t>Estado de Derecho.</w:t>
      </w:r>
    </w:p>
    <w:p w:rsidR="00A16627" w:rsidRPr="000A692A" w:rsidRDefault="00A16627" w:rsidP="00A16627">
      <w:pPr>
        <w:widowControl w:val="0"/>
        <w:tabs>
          <w:tab w:val="clear" w:pos="3420"/>
        </w:tabs>
        <w:adjustRightInd w:val="0"/>
        <w:spacing w:line="240" w:lineRule="auto"/>
        <w:rPr>
          <w:rFonts w:eastAsiaTheme="minorEastAsia"/>
        </w:rPr>
      </w:pPr>
    </w:p>
    <w:p w:rsidR="005B0131" w:rsidRPr="000A692A" w:rsidRDefault="005B0131" w:rsidP="00A16627">
      <w:pPr>
        <w:widowControl w:val="0"/>
        <w:tabs>
          <w:tab w:val="clear" w:pos="3420"/>
        </w:tabs>
        <w:adjustRightInd w:val="0"/>
        <w:spacing w:line="240" w:lineRule="auto"/>
        <w:rPr>
          <w:rFonts w:eastAsiaTheme="minorEastAsia"/>
        </w:rPr>
      </w:pPr>
      <w:r w:rsidRPr="000A692A">
        <w:rPr>
          <w:rFonts w:eastAsiaTheme="minorEastAsia"/>
        </w:rPr>
        <w:t xml:space="preserve">Concretamente, </w:t>
      </w:r>
      <w:r w:rsidR="005818A0">
        <w:rPr>
          <w:rFonts w:eastAsiaTheme="minorEastAsia"/>
        </w:rPr>
        <w:t xml:space="preserve">nos proponemos </w:t>
      </w:r>
      <w:r w:rsidRPr="000A692A">
        <w:rPr>
          <w:rFonts w:eastAsiaTheme="minorEastAsia"/>
        </w:rPr>
        <w:t>hacer una breve aproximación a dos supuestos concretos y</w:t>
      </w:r>
      <w:r w:rsidR="00B46F62" w:rsidRPr="000A692A">
        <w:rPr>
          <w:rFonts w:eastAsiaTheme="minorEastAsia"/>
        </w:rPr>
        <w:t>,</w:t>
      </w:r>
      <w:r w:rsidRPr="000A692A">
        <w:rPr>
          <w:rFonts w:eastAsiaTheme="minorEastAsia"/>
        </w:rPr>
        <w:t xml:space="preserve"> en particular</w:t>
      </w:r>
      <w:r w:rsidR="00B46F62" w:rsidRPr="000A692A">
        <w:rPr>
          <w:rFonts w:eastAsiaTheme="minorEastAsia"/>
        </w:rPr>
        <w:t>,</w:t>
      </w:r>
      <w:r w:rsidRPr="000A692A">
        <w:rPr>
          <w:rFonts w:eastAsiaTheme="minorEastAsia"/>
        </w:rPr>
        <w:t xml:space="preserve"> al tratamiento jurisprudencial dispensado por los Tribunales: el lanzamiento </w:t>
      </w:r>
      <w:r w:rsidR="00945CA5" w:rsidRPr="000A692A">
        <w:rPr>
          <w:rFonts w:eastAsiaTheme="minorEastAsia"/>
        </w:rPr>
        <w:t xml:space="preserve">(en fiestas o discotecas) </w:t>
      </w:r>
      <w:r w:rsidRPr="000A692A">
        <w:rPr>
          <w:rFonts w:eastAsiaTheme="minorEastAsia"/>
        </w:rPr>
        <w:t xml:space="preserve">de personas de </w:t>
      </w:r>
      <w:r w:rsidR="00945CA5" w:rsidRPr="000A692A">
        <w:rPr>
          <w:rFonts w:eastAsiaTheme="minorEastAsia"/>
        </w:rPr>
        <w:t>“</w:t>
      </w:r>
      <w:r w:rsidR="008B0A57">
        <w:rPr>
          <w:rFonts w:eastAsiaTheme="minorEastAsia"/>
        </w:rPr>
        <w:t>talla baja</w:t>
      </w:r>
      <w:r w:rsidR="00945CA5" w:rsidRPr="000A692A">
        <w:rPr>
          <w:rFonts w:eastAsiaTheme="minorEastAsia"/>
        </w:rPr>
        <w:t>”</w:t>
      </w:r>
      <w:r w:rsidRPr="000A692A">
        <w:rPr>
          <w:rFonts w:eastAsiaTheme="minorEastAsia"/>
        </w:rPr>
        <w:t xml:space="preserve"> y la actividad </w:t>
      </w:r>
      <w:r w:rsidR="00B46F62" w:rsidRPr="000A692A">
        <w:rPr>
          <w:rFonts w:eastAsiaTheme="minorEastAsia"/>
        </w:rPr>
        <w:t xml:space="preserve">“profesional” </w:t>
      </w:r>
      <w:r w:rsidRPr="000A692A">
        <w:rPr>
          <w:rFonts w:eastAsiaTheme="minorEastAsia"/>
        </w:rPr>
        <w:t xml:space="preserve">de </w:t>
      </w:r>
      <w:r w:rsidR="00600F26" w:rsidRPr="000A692A">
        <w:rPr>
          <w:rFonts w:eastAsiaTheme="minorEastAsia"/>
        </w:rPr>
        <w:t>“</w:t>
      </w:r>
      <w:r w:rsidRPr="000A692A">
        <w:rPr>
          <w:rFonts w:eastAsiaTheme="minorEastAsia"/>
        </w:rPr>
        <w:t>alterne</w:t>
      </w:r>
      <w:r w:rsidR="001A3D3B">
        <w:rPr>
          <w:rFonts w:eastAsiaTheme="minorEastAsia"/>
        </w:rPr>
        <w:t>/prostitución</w:t>
      </w:r>
      <w:r w:rsidR="00600F26" w:rsidRPr="000A692A">
        <w:rPr>
          <w:rFonts w:eastAsiaTheme="minorEastAsia"/>
        </w:rPr>
        <w:t>”</w:t>
      </w:r>
      <w:r w:rsidRPr="000A692A">
        <w:rPr>
          <w:rFonts w:eastAsiaTheme="minorEastAsia"/>
        </w:rPr>
        <w:t>.</w:t>
      </w:r>
      <w:r w:rsidR="00A16627" w:rsidRPr="000A692A">
        <w:rPr>
          <w:rFonts w:eastAsiaTheme="minorEastAsia"/>
        </w:rPr>
        <w:t xml:space="preserve"> </w:t>
      </w:r>
      <w:r w:rsidR="00945CA5" w:rsidRPr="000A692A">
        <w:rPr>
          <w:rFonts w:eastAsiaTheme="minorEastAsia"/>
        </w:rPr>
        <w:t>Especialmente porque</w:t>
      </w:r>
      <w:r w:rsidR="00B46F62" w:rsidRPr="000A692A">
        <w:rPr>
          <w:rFonts w:eastAsiaTheme="minorEastAsia"/>
        </w:rPr>
        <w:t>, en la medida que la aproximación interpretativa no ha sido homogénea, como hipótesis de trabajo, cabe barajar la posibilidad de que existan fisuras notables en la conceptuación de los principios de integridad e indisponibilidad</w:t>
      </w:r>
      <w:r w:rsidR="00253874">
        <w:rPr>
          <w:rFonts w:eastAsiaTheme="minorEastAsia"/>
        </w:rPr>
        <w:t xml:space="preserve"> descritos</w:t>
      </w:r>
      <w:r w:rsidR="00B46F62" w:rsidRPr="000A692A">
        <w:rPr>
          <w:rFonts w:eastAsiaTheme="minorEastAsia"/>
        </w:rPr>
        <w:t xml:space="preserve">. </w:t>
      </w:r>
    </w:p>
    <w:p w:rsidR="00B46F62" w:rsidRPr="000A692A" w:rsidRDefault="00B46F62" w:rsidP="00A16627">
      <w:pPr>
        <w:widowControl w:val="0"/>
        <w:tabs>
          <w:tab w:val="clear" w:pos="3420"/>
        </w:tabs>
        <w:adjustRightInd w:val="0"/>
        <w:spacing w:line="240" w:lineRule="auto"/>
        <w:rPr>
          <w:rFonts w:eastAsiaTheme="minorEastAsia"/>
        </w:rPr>
      </w:pPr>
    </w:p>
    <w:p w:rsidR="00E121B4" w:rsidRDefault="00B46F62" w:rsidP="00B46F62">
      <w:pPr>
        <w:pStyle w:val="Textdenotaapeudepgina"/>
        <w:rPr>
          <w:rFonts w:eastAsiaTheme="minorEastAsia"/>
        </w:rPr>
      </w:pPr>
      <w:r w:rsidRPr="000A692A">
        <w:rPr>
          <w:rFonts w:eastAsiaTheme="minorEastAsia"/>
        </w:rPr>
        <w:t>Y, en relación a esta hipótesis</w:t>
      </w:r>
      <w:r w:rsidR="00945CA5" w:rsidRPr="000A692A">
        <w:rPr>
          <w:rFonts w:eastAsiaTheme="minorEastAsia"/>
        </w:rPr>
        <w:t xml:space="preserve"> </w:t>
      </w:r>
      <w:r w:rsidR="0005329B">
        <w:rPr>
          <w:rFonts w:eastAsiaTheme="minorEastAsia"/>
        </w:rPr>
        <w:t>de trabajo</w:t>
      </w:r>
      <w:r w:rsidRPr="000A692A">
        <w:rPr>
          <w:rFonts w:eastAsiaTheme="minorEastAsia"/>
        </w:rPr>
        <w:t xml:space="preserve">, </w:t>
      </w:r>
      <w:r w:rsidR="00100CE5" w:rsidRPr="000A692A">
        <w:rPr>
          <w:rFonts w:eastAsiaTheme="minorEastAsia"/>
        </w:rPr>
        <w:t xml:space="preserve">como ya se ha avanzado, </w:t>
      </w:r>
      <w:r w:rsidRPr="000A692A">
        <w:rPr>
          <w:rFonts w:eastAsiaTheme="minorEastAsia"/>
        </w:rPr>
        <w:t xml:space="preserve">creemos oportuno </w:t>
      </w:r>
      <w:r w:rsidR="0005329B">
        <w:rPr>
          <w:rFonts w:eastAsiaTheme="minorEastAsia"/>
        </w:rPr>
        <w:t xml:space="preserve">emplear la matriz analítica que propone </w:t>
      </w:r>
      <w:proofErr w:type="spellStart"/>
      <w:r w:rsidR="00945CA5" w:rsidRPr="000A692A">
        <w:rPr>
          <w:rFonts w:eastAsiaTheme="minorEastAsia"/>
          <w:i/>
        </w:rPr>
        <w:t>Law</w:t>
      </w:r>
      <w:proofErr w:type="spellEnd"/>
      <w:r w:rsidR="00945CA5" w:rsidRPr="000A692A">
        <w:rPr>
          <w:rFonts w:eastAsiaTheme="minorEastAsia"/>
          <w:i/>
        </w:rPr>
        <w:t xml:space="preserve"> &amp; </w:t>
      </w:r>
      <w:proofErr w:type="spellStart"/>
      <w:r w:rsidR="00945CA5" w:rsidRPr="000A692A">
        <w:rPr>
          <w:rFonts w:eastAsiaTheme="minorEastAsia"/>
          <w:i/>
        </w:rPr>
        <w:t>Economics</w:t>
      </w:r>
      <w:proofErr w:type="spellEnd"/>
      <w:r w:rsidR="0005329B">
        <w:rPr>
          <w:rFonts w:eastAsiaTheme="minorEastAsia"/>
        </w:rPr>
        <w:t xml:space="preserve"> </w:t>
      </w:r>
      <w:r w:rsidR="001A3D3B">
        <w:rPr>
          <w:rFonts w:eastAsiaTheme="minorEastAsia"/>
        </w:rPr>
        <w:t>(a pesar de que</w:t>
      </w:r>
      <w:r w:rsidR="0005329B">
        <w:rPr>
          <w:rFonts w:eastAsiaTheme="minorEastAsia"/>
        </w:rPr>
        <w:t>,</w:t>
      </w:r>
      <w:r w:rsidR="001A3D3B">
        <w:rPr>
          <w:rFonts w:eastAsiaTheme="minorEastAsia"/>
        </w:rPr>
        <w:t xml:space="preserve"> </w:t>
      </w:r>
      <w:r w:rsidR="0005329B">
        <w:rPr>
          <w:rFonts w:eastAsiaTheme="minorEastAsia"/>
        </w:rPr>
        <w:t xml:space="preserve">como método, padezca algunas </w:t>
      </w:r>
      <w:r w:rsidR="001A3D3B" w:rsidRPr="000A692A">
        <w:rPr>
          <w:rFonts w:eastAsiaTheme="minorEastAsia"/>
        </w:rPr>
        <w:t xml:space="preserve">carencias y debilidades </w:t>
      </w:r>
      <w:r w:rsidR="001A3D3B">
        <w:rPr>
          <w:rFonts w:eastAsiaTheme="minorEastAsia"/>
        </w:rPr>
        <w:t xml:space="preserve">y </w:t>
      </w:r>
      <w:r w:rsidR="00E121B4">
        <w:rPr>
          <w:rFonts w:eastAsiaTheme="minorEastAsia"/>
        </w:rPr>
        <w:t xml:space="preserve">un sector de la doctrina </w:t>
      </w:r>
      <w:r w:rsidR="001A3D3B">
        <w:rPr>
          <w:rFonts w:eastAsiaTheme="minorEastAsia"/>
        </w:rPr>
        <w:t>discuta su “</w:t>
      </w:r>
      <w:r w:rsidR="001A3D3B" w:rsidRPr="000A692A">
        <w:rPr>
          <w:rFonts w:eastAsiaTheme="minorEastAsia"/>
        </w:rPr>
        <w:t>halo de cientificidad</w:t>
      </w:r>
      <w:r w:rsidR="001A3D3B">
        <w:rPr>
          <w:rFonts w:eastAsiaTheme="minorEastAsia"/>
        </w:rPr>
        <w:t>”</w:t>
      </w:r>
      <w:r w:rsidR="001A3D3B" w:rsidRPr="000A692A">
        <w:rPr>
          <w:rFonts w:eastAsiaTheme="minorEastAsia"/>
        </w:rPr>
        <w:t>)</w:t>
      </w:r>
      <w:r w:rsidR="0005329B">
        <w:rPr>
          <w:rFonts w:eastAsiaTheme="minorEastAsia"/>
        </w:rPr>
        <w:t>.</w:t>
      </w:r>
      <w:r w:rsidR="001A3D3B">
        <w:rPr>
          <w:rFonts w:eastAsiaTheme="minorEastAsia"/>
        </w:rPr>
        <w:t xml:space="preserve"> </w:t>
      </w:r>
    </w:p>
    <w:p w:rsidR="00E121B4" w:rsidRDefault="00E121B4" w:rsidP="00B46F62">
      <w:pPr>
        <w:pStyle w:val="Textdenotaapeudepgina"/>
        <w:rPr>
          <w:rFonts w:eastAsiaTheme="minorEastAsia"/>
        </w:rPr>
      </w:pPr>
    </w:p>
    <w:p w:rsidR="00B46F62" w:rsidRPr="000A692A" w:rsidRDefault="00E121B4" w:rsidP="00B46F62">
      <w:pPr>
        <w:pStyle w:val="Textdenotaapeudepgina"/>
        <w:rPr>
          <w:rFonts w:eastAsiaTheme="minorEastAsia"/>
        </w:rPr>
      </w:pPr>
      <w:r>
        <w:rPr>
          <w:rFonts w:eastAsiaTheme="minorEastAsia"/>
        </w:rPr>
        <w:t xml:space="preserve">No obstante, como es bien sabido, el panorama doctrinal no es homogéneo. </w:t>
      </w:r>
      <w:r w:rsidR="0005329B">
        <w:rPr>
          <w:rFonts w:eastAsiaTheme="minorEastAsia"/>
        </w:rPr>
        <w:t>A</w:t>
      </w:r>
      <w:r>
        <w:rPr>
          <w:rFonts w:eastAsiaTheme="minorEastAsia"/>
        </w:rPr>
        <w:t xml:space="preserve">sumiendo el riesgo de estar simplificando el exceso las corrientes de pensamiento existentes (en número y detalle de su exposición), podemos afirmar que </w:t>
      </w:r>
      <w:r w:rsidR="00B46F62" w:rsidRPr="000A692A">
        <w:rPr>
          <w:rFonts w:eastAsiaTheme="minorEastAsia"/>
        </w:rPr>
        <w:t>para algunos a</w:t>
      </w:r>
      <w:r w:rsidR="000A2843" w:rsidRPr="000A692A">
        <w:rPr>
          <w:rFonts w:eastAsiaTheme="minorEastAsia"/>
        </w:rPr>
        <w:t xml:space="preserve">utores </w:t>
      </w:r>
      <w:r w:rsidR="00A5431E" w:rsidRPr="000A692A">
        <w:rPr>
          <w:rFonts w:eastAsiaTheme="minorEastAsia"/>
        </w:rPr>
        <w:lastRenderedPageBreak/>
        <w:t xml:space="preserve">(corriente normativa o “Escuela de Yale”) </w:t>
      </w:r>
      <w:r w:rsidR="00B46F62" w:rsidRPr="000A692A">
        <w:rPr>
          <w:rFonts w:eastAsiaTheme="minorEastAsia"/>
        </w:rPr>
        <w:t xml:space="preserve">existen situaciones en las que </w:t>
      </w:r>
      <w:r w:rsidR="00B46F62" w:rsidRPr="000A692A">
        <w:t xml:space="preserve">el interés general </w:t>
      </w:r>
      <w:r w:rsidR="00767C6F" w:rsidRPr="000A692A">
        <w:t xml:space="preserve">debe </w:t>
      </w:r>
      <w:r w:rsidR="00B46F62" w:rsidRPr="000A692A">
        <w:t>superpone</w:t>
      </w:r>
      <w:r w:rsidR="00767C6F" w:rsidRPr="000A692A">
        <w:t>rse</w:t>
      </w:r>
      <w:r w:rsidR="00B46F62" w:rsidRPr="000A692A">
        <w:t xml:space="preserve"> al individual porque, no sólo están en juego los gustos y preferencias individuales de las partes implicadas, sino que también repercute en la seguridad y el bie</w:t>
      </w:r>
      <w:r w:rsidR="00767C6F" w:rsidRPr="000A692A">
        <w:t xml:space="preserve">nestar de toda la colectividad. Así, para esta </w:t>
      </w:r>
      <w:r w:rsidR="000A2843" w:rsidRPr="000A692A">
        <w:t xml:space="preserve">corriente del </w:t>
      </w:r>
      <w:proofErr w:type="spellStart"/>
      <w:r w:rsidR="000A2843" w:rsidRPr="000A692A">
        <w:rPr>
          <w:i/>
        </w:rPr>
        <w:t>Law</w:t>
      </w:r>
      <w:proofErr w:type="spellEnd"/>
      <w:r w:rsidR="000A2843" w:rsidRPr="000A692A">
        <w:rPr>
          <w:i/>
        </w:rPr>
        <w:t xml:space="preserve"> &amp; </w:t>
      </w:r>
      <w:proofErr w:type="spellStart"/>
      <w:r w:rsidR="000A2843" w:rsidRPr="000A692A">
        <w:rPr>
          <w:i/>
        </w:rPr>
        <w:t>Economics</w:t>
      </w:r>
      <w:proofErr w:type="spellEnd"/>
      <w:r w:rsidR="00767C6F" w:rsidRPr="000A692A">
        <w:t>, l</w:t>
      </w:r>
      <w:r w:rsidR="00B46F62" w:rsidRPr="000A692A">
        <w:t xml:space="preserve">a conveniencia de </w:t>
      </w:r>
      <w:r w:rsidR="00767C6F" w:rsidRPr="000A692A">
        <w:t xml:space="preserve">un </w:t>
      </w:r>
      <w:r w:rsidR="00B46F62" w:rsidRPr="000A692A">
        <w:t xml:space="preserve">espacio de intervención heterónoma, en perjuicio de </w:t>
      </w:r>
      <w:r w:rsidR="00767C6F" w:rsidRPr="000A692A">
        <w:t xml:space="preserve">uno marcado por el </w:t>
      </w:r>
      <w:r w:rsidR="00B46F62" w:rsidRPr="000A692A">
        <w:t>merca</w:t>
      </w:r>
      <w:r w:rsidR="00767C6F" w:rsidRPr="000A692A">
        <w:t>do (o estrictamente individual</w:t>
      </w:r>
      <w:r w:rsidR="00B46F62" w:rsidRPr="000A692A">
        <w:t xml:space="preserve">), se hace patente en </w:t>
      </w:r>
      <w:r w:rsidR="00767C6F" w:rsidRPr="000A692A">
        <w:t xml:space="preserve">ciertos </w:t>
      </w:r>
      <w:r w:rsidR="00B46F62" w:rsidRPr="000A692A">
        <w:t>supuestos porque, “con independencia del coste, existen cosas que repugnan a la sociedad. (...) En la naturaleza misma de los imperativos morales admitidos por la sociedad está implícita, obviamente la necesidad de situarse fuera el alcance de los gustos y juicios individuales. De ahí resulta que, cada vez que está involucrado un elemento de tipo moral, debe realizarse un juicio colectivo”</w:t>
      </w:r>
      <w:r w:rsidR="00945CA5" w:rsidRPr="000A692A">
        <w:rPr>
          <w:rStyle w:val="Refernciadenotaapeudepgina"/>
        </w:rPr>
        <w:footnoteReference w:id="8"/>
      </w:r>
      <w:r w:rsidR="00B46F62" w:rsidRPr="000A692A">
        <w:t>.</w:t>
      </w:r>
    </w:p>
    <w:p w:rsidR="00B46F62" w:rsidRPr="000A692A" w:rsidRDefault="00B46F62" w:rsidP="00B46F62">
      <w:pPr>
        <w:widowControl w:val="0"/>
        <w:tabs>
          <w:tab w:val="clear" w:pos="3420"/>
        </w:tabs>
        <w:adjustRightInd w:val="0"/>
        <w:spacing w:line="240" w:lineRule="auto"/>
        <w:rPr>
          <w:rFonts w:eastAsiaTheme="minorEastAsia"/>
        </w:rPr>
      </w:pPr>
    </w:p>
    <w:p w:rsidR="00B46F62" w:rsidRPr="000A692A" w:rsidRDefault="00B46F62" w:rsidP="00B46F62">
      <w:pPr>
        <w:widowControl w:val="0"/>
        <w:tabs>
          <w:tab w:val="clear" w:pos="3420"/>
        </w:tabs>
        <w:adjustRightInd w:val="0"/>
        <w:spacing w:line="240" w:lineRule="auto"/>
      </w:pPr>
      <w:r w:rsidRPr="000A692A">
        <w:rPr>
          <w:rFonts w:eastAsiaTheme="minorEastAsia"/>
        </w:rPr>
        <w:t xml:space="preserve">No obstante, frente a esta corriente minoritaria, </w:t>
      </w:r>
      <w:r w:rsidR="00D66F56">
        <w:rPr>
          <w:rFonts w:eastAsiaTheme="minorEastAsia"/>
        </w:rPr>
        <w:t xml:space="preserve">un importante sector de la </w:t>
      </w:r>
      <w:r w:rsidRPr="000A692A">
        <w:rPr>
          <w:rFonts w:eastAsiaTheme="minorEastAsia"/>
        </w:rPr>
        <w:t>doctrina (</w:t>
      </w:r>
      <w:r w:rsidR="00A5431E" w:rsidRPr="000A692A">
        <w:rPr>
          <w:rFonts w:eastAsiaTheme="minorEastAsia"/>
        </w:rPr>
        <w:t xml:space="preserve">corriente positiva o </w:t>
      </w:r>
      <w:r w:rsidRPr="000A692A">
        <w:rPr>
          <w:rFonts w:eastAsiaTheme="minorEastAsia"/>
        </w:rPr>
        <w:t>“Escuela de Chicago”)</w:t>
      </w:r>
      <w:r w:rsidRPr="000A692A">
        <w:t>, partiendo de la filosofía moral utilitarista (</w:t>
      </w:r>
      <w:r w:rsidRPr="000A692A">
        <w:rPr>
          <w:smallCaps/>
        </w:rPr>
        <w:t>B</w:t>
      </w:r>
      <w:r w:rsidR="00D66F56">
        <w:rPr>
          <w:smallCaps/>
        </w:rPr>
        <w:t>ENTHAM</w:t>
      </w:r>
      <w:r w:rsidRPr="000A692A">
        <w:rPr>
          <w:rStyle w:val="Refernciadenotaapeudepgina"/>
          <w:smallCaps/>
        </w:rPr>
        <w:footnoteReference w:id="9"/>
      </w:r>
      <w:r w:rsidRPr="000A692A">
        <w:t xml:space="preserve">) y del sistema de mercado, y por lo tanto, reduciendo la acción del hombre a un motivo exclusivamente económico, entiende que la eficiencia no sólo constituye el </w:t>
      </w:r>
      <w:r w:rsidRPr="000A692A">
        <w:rPr>
          <w:i/>
          <w:iCs/>
        </w:rPr>
        <w:t xml:space="preserve">único </w:t>
      </w:r>
      <w:r w:rsidRPr="000A692A">
        <w:t>valor social, sino que, incluso, es asumida como sinónimo de justicia</w:t>
      </w:r>
      <w:r w:rsidRPr="000A692A">
        <w:rPr>
          <w:rStyle w:val="Refernciadenotaapeudepgina"/>
        </w:rPr>
        <w:footnoteReference w:id="10"/>
      </w:r>
      <w:r w:rsidRPr="000A692A">
        <w:t>.</w:t>
      </w:r>
    </w:p>
    <w:p w:rsidR="00B46F62" w:rsidRPr="000A692A" w:rsidRDefault="00B46F62" w:rsidP="00B46F62">
      <w:pPr>
        <w:widowControl w:val="0"/>
        <w:tabs>
          <w:tab w:val="clear" w:pos="3420"/>
        </w:tabs>
        <w:adjustRightInd w:val="0"/>
        <w:spacing w:line="240" w:lineRule="auto"/>
      </w:pPr>
    </w:p>
    <w:p w:rsidR="00B46F62" w:rsidRPr="000A692A" w:rsidRDefault="00B46F62" w:rsidP="00B46F62">
      <w:pPr>
        <w:widowControl w:val="0"/>
        <w:tabs>
          <w:tab w:val="clear" w:pos="3420"/>
        </w:tabs>
        <w:adjustRightInd w:val="0"/>
        <w:spacing w:line="240" w:lineRule="auto"/>
      </w:pPr>
      <w:r w:rsidRPr="000A692A">
        <w:t xml:space="preserve">Así, como derivación de esta aseveración, para </w:t>
      </w:r>
      <w:r w:rsidR="00767C6F" w:rsidRPr="000A692A">
        <w:rPr>
          <w:smallCaps/>
        </w:rPr>
        <w:t>SCHOTTER</w:t>
      </w:r>
      <w:r w:rsidRPr="000A692A">
        <w:t xml:space="preserve"> (1987, p. 140), desde un punto de vista económico, el único requisito exigible a un sistema es su eficiencia y toda cuestión de moralidad carece de sentido. De hecho, si se acepta la tesis de la doctrina ético-política dominante que entiende que la moral es un conjunto de restricciones de los intereses individuales, desde la perspectiva de la antropología racionalista del hombre económico, la moral carece de sentido. Es decir, en un mercado ideal no existe espacio para la moral. Si el egoísmo individual guiado por la mano invisible conduce a un resultado óptimo (eficiente), cualquier restricción de los intereses egoístas conduce a un resultado </w:t>
      </w:r>
      <w:proofErr w:type="spellStart"/>
      <w:r w:rsidRPr="000A692A">
        <w:t>subóptimo</w:t>
      </w:r>
      <w:proofErr w:type="spellEnd"/>
      <w:r w:rsidRPr="000A692A">
        <w:t xml:space="preserve">, esto es, una irracionalidad. Caben entonces </w:t>
      </w:r>
      <w:r w:rsidRPr="000A692A">
        <w:lastRenderedPageBreak/>
        <w:t xml:space="preserve">dos opciones, o bien, entender que se produce una identificación (confusión) entre la racionalidad y la moralidad; o bien, se está describiendo un espacio libre donde no tiene juego la moral, porque supone </w:t>
      </w:r>
      <w:r w:rsidR="00767C6F" w:rsidRPr="000A692A">
        <w:t>una restricción a la eficiencia</w:t>
      </w:r>
      <w:r w:rsidR="00767C6F" w:rsidRPr="000A692A">
        <w:rPr>
          <w:rStyle w:val="Refernciadenotaapeudepgina"/>
        </w:rPr>
        <w:footnoteReference w:id="11"/>
      </w:r>
      <w:r w:rsidRPr="000A692A">
        <w:t xml:space="preserve">. </w:t>
      </w:r>
    </w:p>
    <w:p w:rsidR="000A2843" w:rsidRPr="000A692A" w:rsidRDefault="000A2843" w:rsidP="00B46F62">
      <w:pPr>
        <w:widowControl w:val="0"/>
        <w:tabs>
          <w:tab w:val="clear" w:pos="3420"/>
        </w:tabs>
        <w:adjustRightInd w:val="0"/>
        <w:spacing w:line="240" w:lineRule="auto"/>
      </w:pPr>
    </w:p>
    <w:p w:rsidR="00235481" w:rsidRDefault="00A5431E" w:rsidP="00B46F62">
      <w:pPr>
        <w:widowControl w:val="0"/>
        <w:tabs>
          <w:tab w:val="clear" w:pos="3420"/>
        </w:tabs>
        <w:adjustRightInd w:val="0"/>
        <w:spacing w:line="240" w:lineRule="auto"/>
      </w:pPr>
      <w:r w:rsidRPr="000A692A">
        <w:t xml:space="preserve">En definitiva, </w:t>
      </w:r>
      <w:r w:rsidR="00AF767B" w:rsidRPr="000A692A">
        <w:t xml:space="preserve">– pecando, quizás, de una simplificación excesiva - </w:t>
      </w:r>
      <w:r w:rsidRPr="000A692A">
        <w:t>para esta corriente de pensamiento, lo racional</w:t>
      </w:r>
      <w:r w:rsidR="00F21465">
        <w:t xml:space="preserve"> </w:t>
      </w:r>
      <w:r w:rsidRPr="000A692A">
        <w:t xml:space="preserve">es que, con independencia de la repugnancia </w:t>
      </w:r>
      <w:r w:rsidR="008329DF" w:rsidRPr="000A692A">
        <w:t xml:space="preserve">social </w:t>
      </w:r>
      <w:r w:rsidRPr="000A692A">
        <w:t xml:space="preserve">que determinadas conductas o actividades puedan suscitar, debe ser el “mercado” (la suma de las decisiones individuales de los sujetos) el que autónomamente fije la intensidad con la que deben producirse. </w:t>
      </w:r>
    </w:p>
    <w:p w:rsidR="008579CC" w:rsidRDefault="008579CC" w:rsidP="00B46F62">
      <w:pPr>
        <w:widowControl w:val="0"/>
        <w:tabs>
          <w:tab w:val="clear" w:pos="3420"/>
        </w:tabs>
        <w:adjustRightInd w:val="0"/>
        <w:spacing w:line="240" w:lineRule="auto"/>
      </w:pPr>
    </w:p>
    <w:p w:rsidR="00235481" w:rsidRDefault="008579CC" w:rsidP="00B46F62">
      <w:pPr>
        <w:widowControl w:val="0"/>
        <w:tabs>
          <w:tab w:val="clear" w:pos="3420"/>
        </w:tabs>
        <w:adjustRightInd w:val="0"/>
        <w:spacing w:line="240" w:lineRule="auto"/>
      </w:pPr>
      <w:r w:rsidRPr="000A692A">
        <w:t>Repárese, pues, que a partir de este enfoque sería admisible (o, incluso, exigible) una devaluación total de los principios de integridad e indisponibilidad en los términos que hemos expuesto. Y los trabajos de BECKER o POSNER (entre otros) al respecto son suficientemente ilustrativos</w:t>
      </w:r>
      <w:r w:rsidRPr="000A692A">
        <w:rPr>
          <w:rStyle w:val="Refernciadenotaapeudepgina"/>
        </w:rPr>
        <w:footnoteReference w:id="12"/>
      </w:r>
      <w:r w:rsidRPr="000A692A">
        <w:t>.</w:t>
      </w:r>
    </w:p>
    <w:p w:rsidR="008579CC" w:rsidRDefault="008579CC" w:rsidP="00B46F62">
      <w:pPr>
        <w:widowControl w:val="0"/>
        <w:tabs>
          <w:tab w:val="clear" w:pos="3420"/>
        </w:tabs>
        <w:adjustRightInd w:val="0"/>
        <w:spacing w:line="240" w:lineRule="auto"/>
      </w:pPr>
    </w:p>
    <w:p w:rsidR="000A2843" w:rsidRPr="000A692A" w:rsidRDefault="008579CC" w:rsidP="00B46F62">
      <w:pPr>
        <w:widowControl w:val="0"/>
        <w:tabs>
          <w:tab w:val="clear" w:pos="3420"/>
        </w:tabs>
        <w:adjustRightInd w:val="0"/>
        <w:spacing w:line="240" w:lineRule="auto"/>
      </w:pPr>
      <w:r>
        <w:t xml:space="preserve">Es evidente que el planteamiento que propone la “Escuela de Chicago” (en los términos descritos) es radicalmente opuesto a la </w:t>
      </w:r>
      <w:r w:rsidR="00E121B4">
        <w:t xml:space="preserve">génesis y </w:t>
      </w:r>
      <w:r w:rsidR="009463EC">
        <w:t>conceptuación del Derecho del Trabajo y de la Seguridad Social</w:t>
      </w:r>
      <w:r w:rsidR="00E121B4">
        <w:t xml:space="preserve"> como rama del ordenamiento jurídico</w:t>
      </w:r>
      <w:r w:rsidR="009463EC">
        <w:t>.</w:t>
      </w:r>
      <w:r>
        <w:t xml:space="preserve"> Motivo por el que un amplio sector de la doctrina laboral lo rechaza frontalmente.</w:t>
      </w:r>
    </w:p>
    <w:p w:rsidR="00556B92" w:rsidRPr="000A692A" w:rsidRDefault="00556B92" w:rsidP="00B46F62">
      <w:pPr>
        <w:widowControl w:val="0"/>
        <w:tabs>
          <w:tab w:val="clear" w:pos="3420"/>
        </w:tabs>
        <w:adjustRightInd w:val="0"/>
        <w:spacing w:line="240" w:lineRule="auto"/>
      </w:pPr>
    </w:p>
    <w:p w:rsidR="00C200D5" w:rsidRPr="000A692A" w:rsidRDefault="00C200D5" w:rsidP="00B46F62">
      <w:pPr>
        <w:widowControl w:val="0"/>
        <w:tabs>
          <w:tab w:val="clear" w:pos="3420"/>
        </w:tabs>
        <w:adjustRightInd w:val="0"/>
        <w:spacing w:line="240" w:lineRule="auto"/>
      </w:pPr>
      <w:r w:rsidRPr="000A692A">
        <w:t xml:space="preserve">Hecha esta aproximación conceptual, veamos, a continuación, los dos supuestos anunciados. </w:t>
      </w:r>
    </w:p>
    <w:p w:rsidR="00767C6F" w:rsidRPr="000A692A" w:rsidRDefault="00767C6F" w:rsidP="00B46F62">
      <w:pPr>
        <w:widowControl w:val="0"/>
        <w:tabs>
          <w:tab w:val="clear" w:pos="3420"/>
        </w:tabs>
        <w:adjustRightInd w:val="0"/>
        <w:spacing w:line="240" w:lineRule="auto"/>
      </w:pPr>
    </w:p>
    <w:p w:rsidR="005B0131" w:rsidRPr="000A692A" w:rsidRDefault="008329DF" w:rsidP="00A16627">
      <w:pPr>
        <w:spacing w:line="240" w:lineRule="auto"/>
        <w:rPr>
          <w:b/>
        </w:rPr>
      </w:pPr>
      <w:r w:rsidRPr="000A692A">
        <w:rPr>
          <w:b/>
        </w:rPr>
        <w:t xml:space="preserve">3. </w:t>
      </w:r>
      <w:r w:rsidR="008579CC">
        <w:rPr>
          <w:b/>
        </w:rPr>
        <w:t>“</w:t>
      </w:r>
      <w:r w:rsidR="005B0131" w:rsidRPr="000A692A">
        <w:rPr>
          <w:b/>
        </w:rPr>
        <w:t xml:space="preserve">Manuel </w:t>
      </w:r>
      <w:proofErr w:type="spellStart"/>
      <w:r w:rsidR="005B0131" w:rsidRPr="000A692A">
        <w:rPr>
          <w:b/>
        </w:rPr>
        <w:t>Wackenheim</w:t>
      </w:r>
      <w:proofErr w:type="spellEnd"/>
      <w:r w:rsidR="005B0131" w:rsidRPr="000A692A">
        <w:rPr>
          <w:b/>
        </w:rPr>
        <w:t xml:space="preserve"> v. France</w:t>
      </w:r>
      <w:r w:rsidR="008579CC">
        <w:rPr>
          <w:b/>
        </w:rPr>
        <w:t>”</w:t>
      </w:r>
      <w:r w:rsidR="005374E7" w:rsidRPr="000A692A">
        <w:rPr>
          <w:b/>
        </w:rPr>
        <w:t xml:space="preserve">: </w:t>
      </w:r>
      <w:r w:rsidR="003123DD" w:rsidRPr="000A692A">
        <w:rPr>
          <w:b/>
        </w:rPr>
        <w:t xml:space="preserve">un ejemplo de preeminencia de los principios de </w:t>
      </w:r>
      <w:r w:rsidR="005374E7" w:rsidRPr="000A692A">
        <w:rPr>
          <w:b/>
        </w:rPr>
        <w:t>in</w:t>
      </w:r>
      <w:r w:rsidR="003123DD" w:rsidRPr="000A692A">
        <w:rPr>
          <w:b/>
        </w:rPr>
        <w:t>tegridad e indisponibilidad</w:t>
      </w:r>
    </w:p>
    <w:p w:rsidR="005B0131" w:rsidRPr="000A692A" w:rsidRDefault="005B0131" w:rsidP="00A16627">
      <w:pPr>
        <w:spacing w:line="240" w:lineRule="auto"/>
      </w:pPr>
    </w:p>
    <w:p w:rsidR="005B0131" w:rsidRPr="000A692A" w:rsidRDefault="005B0131" w:rsidP="00A16627">
      <w:pPr>
        <w:spacing w:line="240" w:lineRule="auto"/>
      </w:pPr>
      <w:r w:rsidRPr="000A692A">
        <w:t>A partir de la exposición de los hechos tal y como son recogidos en la Comunicación No. 854/1999</w:t>
      </w:r>
      <w:r w:rsidRPr="000A692A">
        <w:rPr>
          <w:rStyle w:val="Refernciadenotaapeudepgina"/>
        </w:rPr>
        <w:footnoteReference w:id="13"/>
      </w:r>
      <w:r w:rsidRPr="000A692A">
        <w:t xml:space="preserve">, del Comité de Derechos Humanos de la ONU, en el caso, </w:t>
      </w:r>
      <w:r w:rsidR="0079179E" w:rsidRPr="000A692A">
        <w:t>“</w:t>
      </w:r>
      <w:r w:rsidRPr="000A692A">
        <w:rPr>
          <w:i/>
        </w:rPr>
        <w:t xml:space="preserve">Manuel </w:t>
      </w:r>
      <w:proofErr w:type="spellStart"/>
      <w:r w:rsidRPr="000A692A">
        <w:rPr>
          <w:i/>
        </w:rPr>
        <w:t>Wackenheim</w:t>
      </w:r>
      <w:proofErr w:type="spellEnd"/>
      <w:r w:rsidRPr="000A692A">
        <w:rPr>
          <w:i/>
        </w:rPr>
        <w:t xml:space="preserve"> v. France</w:t>
      </w:r>
      <w:r w:rsidR="0079179E" w:rsidRPr="000A692A">
        <w:t>”</w:t>
      </w:r>
      <w:r w:rsidRPr="000A692A">
        <w:t xml:space="preserve">, el Sr. </w:t>
      </w:r>
      <w:proofErr w:type="spellStart"/>
      <w:r w:rsidRPr="000A692A">
        <w:t>Wackenheim</w:t>
      </w:r>
      <w:proofErr w:type="spellEnd"/>
      <w:r w:rsidRPr="000A692A">
        <w:t xml:space="preserve">, aquejado </w:t>
      </w:r>
      <w:r w:rsidR="008B0A57">
        <w:t xml:space="preserve">(según la literalidad de la resolución) </w:t>
      </w:r>
      <w:r w:rsidRPr="000A692A">
        <w:t xml:space="preserve">de </w:t>
      </w:r>
      <w:r w:rsidR="0079179E" w:rsidRPr="000A692A">
        <w:t>“</w:t>
      </w:r>
      <w:r w:rsidRPr="000A692A">
        <w:t>enanismo</w:t>
      </w:r>
      <w:r w:rsidR="0079179E" w:rsidRPr="000A692A">
        <w:t>”</w:t>
      </w:r>
      <w:r w:rsidRPr="000A692A">
        <w:t>, actuaba desde julio de 1991 e</w:t>
      </w:r>
      <w:r w:rsidR="00600F26" w:rsidRPr="000A692A">
        <w:t>n los espectáculos denominados “lanzamiento de enanos”</w:t>
      </w:r>
      <w:r w:rsidRPr="000A692A">
        <w:t xml:space="preserve"> presentados por la sociedad </w:t>
      </w:r>
      <w:r w:rsidR="0079179E" w:rsidRPr="000A692A">
        <w:t>“</w:t>
      </w:r>
      <w:proofErr w:type="spellStart"/>
      <w:r w:rsidRPr="000A692A">
        <w:t>Fun-Productions</w:t>
      </w:r>
      <w:proofErr w:type="spellEnd"/>
      <w:r w:rsidR="0079179E" w:rsidRPr="000A692A">
        <w:t>”</w:t>
      </w:r>
      <w:r w:rsidRPr="000A692A">
        <w:t>. Con las debidas protecciones, era lanzado a corta distancia sobre un colchón neumático por ciertos clientes del establecimiento en el que se organizaba el espectáculo (discotecas).</w:t>
      </w:r>
    </w:p>
    <w:p w:rsidR="00CE70EE" w:rsidRPr="000A692A" w:rsidRDefault="00CE70EE" w:rsidP="00A16627">
      <w:pPr>
        <w:spacing w:line="240" w:lineRule="auto"/>
      </w:pPr>
    </w:p>
    <w:p w:rsidR="0079179E" w:rsidRPr="000A692A" w:rsidRDefault="00CE70EE" w:rsidP="00CE70EE">
      <w:pPr>
        <w:spacing w:line="240" w:lineRule="auto"/>
        <w:rPr>
          <w:rFonts w:ascii="Times" w:eastAsiaTheme="minorEastAsia" w:hAnsi="Times" w:cs="Times"/>
        </w:rPr>
      </w:pPr>
      <w:r w:rsidRPr="000A692A">
        <w:t>Actividad que tras ser prohibida por las autoridades locales, recibió el respaldo judicial por parte del Consejo de Estado, el 27 de octubre de 1995, “aduciendo que, por un lado, el ‘lanzamiento de enanos’ es una atracción que representa un atentado contra la dignidad de la persona humana, cuyo respeto es uno de los elementos del orden público, del que es garante la autoridad con facultades de policía municipal y, por otro lado, el respeto del principio de la libertad de trabajo y de comercio no es obstáculo para que esa autoridad prohíba una actividad que, aunque lícita, pueda perturbar el orden público”.</w:t>
      </w:r>
      <w:r w:rsidR="0079179E" w:rsidRPr="000A692A">
        <w:t xml:space="preserve"> </w:t>
      </w:r>
      <w:r w:rsidR="0079179E" w:rsidRPr="000A692A">
        <w:rPr>
          <w:rFonts w:ascii="Times" w:eastAsiaTheme="minorEastAsia" w:hAnsi="Times" w:cs="Times"/>
        </w:rPr>
        <w:t xml:space="preserve">Desde entonces, la sociedad </w:t>
      </w:r>
      <w:proofErr w:type="spellStart"/>
      <w:r w:rsidR="0079179E" w:rsidRPr="000A692A">
        <w:rPr>
          <w:rFonts w:ascii="Times" w:eastAsiaTheme="minorEastAsia" w:hAnsi="Times" w:cs="Times"/>
        </w:rPr>
        <w:t>Fun-Productions</w:t>
      </w:r>
      <w:proofErr w:type="spellEnd"/>
      <w:r w:rsidR="0079179E" w:rsidRPr="000A692A">
        <w:rPr>
          <w:rFonts w:ascii="Times" w:eastAsiaTheme="minorEastAsia" w:hAnsi="Times" w:cs="Times"/>
        </w:rPr>
        <w:t xml:space="preserve"> decidió abandonar ese tipo de actividad. A pesar de su deseo de continuarla, el Sr. </w:t>
      </w:r>
      <w:proofErr w:type="spellStart"/>
      <w:r w:rsidR="0079179E" w:rsidRPr="000A692A">
        <w:t>Wackenheim</w:t>
      </w:r>
      <w:proofErr w:type="spellEnd"/>
      <w:r w:rsidR="0079179E" w:rsidRPr="000A692A">
        <w:t xml:space="preserve"> se quedó</w:t>
      </w:r>
      <w:r w:rsidR="0079179E" w:rsidRPr="000A692A">
        <w:rPr>
          <w:rFonts w:ascii="Times" w:eastAsiaTheme="minorEastAsia" w:hAnsi="Times" w:cs="Times"/>
        </w:rPr>
        <w:t xml:space="preserve"> desde entonces sin empleo por falta de organizador de dichos “espectáculos”.</w:t>
      </w:r>
    </w:p>
    <w:p w:rsidR="0079179E" w:rsidRPr="000A692A" w:rsidRDefault="0079179E" w:rsidP="00CE70EE">
      <w:pPr>
        <w:spacing w:line="240" w:lineRule="auto"/>
        <w:rPr>
          <w:rFonts w:ascii="Times" w:eastAsiaTheme="minorEastAsia" w:hAnsi="Times" w:cs="Times"/>
        </w:rPr>
      </w:pPr>
    </w:p>
    <w:p w:rsidR="0079179E" w:rsidRPr="000A692A" w:rsidRDefault="00CC6CE3" w:rsidP="00CE70EE">
      <w:pPr>
        <w:spacing w:line="240" w:lineRule="auto"/>
      </w:pPr>
      <w:r w:rsidRPr="000A692A">
        <w:rPr>
          <w:rFonts w:ascii="Times" w:eastAsiaTheme="minorEastAsia" w:hAnsi="Times" w:cs="Times"/>
        </w:rPr>
        <w:lastRenderedPageBreak/>
        <w:t xml:space="preserve">En contra de la decisión del Consejo de Estado, el Sr. </w:t>
      </w:r>
      <w:proofErr w:type="spellStart"/>
      <w:r w:rsidRPr="000A692A">
        <w:t>Wackenheim</w:t>
      </w:r>
      <w:proofErr w:type="spellEnd"/>
      <w:r w:rsidRPr="000A692A">
        <w:rPr>
          <w:rFonts w:ascii="Times" w:eastAsiaTheme="minorEastAsia" w:hAnsi="Times" w:cs="Times"/>
        </w:rPr>
        <w:t xml:space="preserve"> sostiene</w:t>
      </w:r>
      <w:r w:rsidRPr="000A692A">
        <w:rPr>
          <w:rStyle w:val="Refernciadenotaapeudepgina"/>
          <w:rFonts w:ascii="Times" w:eastAsiaTheme="minorEastAsia" w:hAnsi="Times" w:cs="Times"/>
        </w:rPr>
        <w:footnoteReference w:id="14"/>
      </w:r>
      <w:r w:rsidRPr="000A692A">
        <w:rPr>
          <w:rFonts w:ascii="Times" w:eastAsiaTheme="minorEastAsia" w:hAnsi="Times" w:cs="Times"/>
        </w:rPr>
        <w:t xml:space="preserve"> que la prohibición de ejercer su trabajo ha tenido consecuencias negativas para su vida y representa un atentado contra su dignidad. Se declara víctima de una violación por parte de Francia de su derecho a la libertad, al trabajo, al respeto de la vida privada y a un nivel de vida suficiente, así como de discriminación. Por un lado, precisa que en Francia no hay empleo para los “enanos” y, por otro, que su trabajo no constituye un atentado a la dignidad humana, pues la dignidad es tener empleo.</w:t>
      </w:r>
    </w:p>
    <w:p w:rsidR="00CE70EE" w:rsidRPr="000A692A" w:rsidRDefault="00CE70EE" w:rsidP="00CE70EE">
      <w:pPr>
        <w:spacing w:line="240" w:lineRule="auto"/>
      </w:pPr>
    </w:p>
    <w:p w:rsidR="00CC6CE3" w:rsidRPr="000A692A" w:rsidRDefault="00D63D08" w:rsidP="00CC6CE3">
      <w:pPr>
        <w:spacing w:line="240" w:lineRule="auto"/>
        <w:rPr>
          <w:rFonts w:ascii="Times" w:eastAsiaTheme="minorEastAsia" w:hAnsi="Times" w:cs="Times"/>
        </w:rPr>
      </w:pPr>
      <w:r w:rsidRPr="000A692A">
        <w:t>Frente</w:t>
      </w:r>
      <w:r w:rsidR="00B104E0" w:rsidRPr="000A692A">
        <w:t xml:space="preserve"> a estas </w:t>
      </w:r>
      <w:r w:rsidRPr="000A692A">
        <w:t xml:space="preserve">alegaciones, el Estado francés construye un discurso expositivo que </w:t>
      </w:r>
      <w:r w:rsidR="00B104E0" w:rsidRPr="000A692A">
        <w:t>-</w:t>
      </w:r>
      <w:r w:rsidRPr="000A692A">
        <w:t xml:space="preserve">sintéticamente </w:t>
      </w:r>
      <w:r w:rsidR="00B104E0" w:rsidRPr="000A692A">
        <w:t xml:space="preserve">- </w:t>
      </w:r>
      <w:r w:rsidRPr="000A692A">
        <w:t>podría subsumirse en el ámbito conceptual delimitado por los principios de dignidad e indisponibil</w:t>
      </w:r>
      <w:r w:rsidR="00994579" w:rsidRPr="000A692A">
        <w:t>idad expuestos con anterioridad:</w:t>
      </w:r>
      <w:r w:rsidRPr="000A692A">
        <w:t xml:space="preserve"> </w:t>
      </w:r>
      <w:r w:rsidR="00994579" w:rsidRPr="000A692A">
        <w:t>e</w:t>
      </w:r>
      <w:r w:rsidR="00B104E0" w:rsidRPr="000A692A">
        <w:t xml:space="preserve">n concreto, </w:t>
      </w:r>
      <w:r w:rsidR="00CC6CE3" w:rsidRPr="000A692A">
        <w:t xml:space="preserve">sostiene que el derecho </w:t>
      </w:r>
      <w:r w:rsidR="00CC6CE3" w:rsidRPr="000A692A">
        <w:rPr>
          <w:rFonts w:ascii="Times" w:eastAsiaTheme="minorEastAsia" w:hAnsi="Times" w:cs="Times"/>
        </w:rPr>
        <w:t xml:space="preserve">que pretende hacer valer Sr. </w:t>
      </w:r>
      <w:proofErr w:type="spellStart"/>
      <w:r w:rsidR="00CC6CE3" w:rsidRPr="000A692A">
        <w:t>Wackenheim</w:t>
      </w:r>
      <w:proofErr w:type="spellEnd"/>
      <w:r w:rsidR="00CC6CE3" w:rsidRPr="000A692A">
        <w:rPr>
          <w:rFonts w:ascii="Times" w:eastAsiaTheme="minorEastAsia" w:hAnsi="Times" w:cs="Times"/>
        </w:rPr>
        <w:t xml:space="preserve"> -</w:t>
      </w:r>
      <w:r w:rsidR="00A350DB" w:rsidRPr="000A692A">
        <w:rPr>
          <w:rFonts w:ascii="Times" w:eastAsiaTheme="minorEastAsia" w:hAnsi="Times" w:cs="Times"/>
        </w:rPr>
        <w:t xml:space="preserve"> </w:t>
      </w:r>
      <w:r w:rsidR="00CC6CE3" w:rsidRPr="000A692A">
        <w:rPr>
          <w:rFonts w:ascii="Times" w:eastAsiaTheme="minorEastAsia" w:hAnsi="Times" w:cs="Times"/>
        </w:rPr>
        <w:t>y</w:t>
      </w:r>
      <w:r w:rsidR="0057666B" w:rsidRPr="000A692A">
        <w:rPr>
          <w:rFonts w:ascii="Times" w:eastAsiaTheme="minorEastAsia" w:hAnsi="Times" w:cs="Times"/>
        </w:rPr>
        <w:t xml:space="preserve"> que le permitiría ser ‘lanzado’</w:t>
      </w:r>
      <w:r w:rsidR="00CC6CE3" w:rsidRPr="000A692A">
        <w:rPr>
          <w:rFonts w:ascii="Times" w:eastAsiaTheme="minorEastAsia" w:hAnsi="Times" w:cs="Times"/>
        </w:rPr>
        <w:t xml:space="preserve"> públicamente y a título profesional</w:t>
      </w:r>
      <w:r w:rsidR="00A350DB" w:rsidRPr="000A692A">
        <w:rPr>
          <w:rFonts w:ascii="Times" w:eastAsiaTheme="minorEastAsia" w:hAnsi="Times" w:cs="Times"/>
        </w:rPr>
        <w:t xml:space="preserve"> </w:t>
      </w:r>
      <w:r w:rsidR="00CC6CE3" w:rsidRPr="000A692A">
        <w:rPr>
          <w:rFonts w:ascii="Times" w:eastAsiaTheme="minorEastAsia" w:hAnsi="Times" w:cs="Times"/>
        </w:rPr>
        <w:t xml:space="preserve">- no corresponde a la esfera de su vida privada y familiar. Francia aduce que, en la medida que la práctica de lanzar “enanos” es una práctica pública y constituye para el Sr. </w:t>
      </w:r>
      <w:proofErr w:type="spellStart"/>
      <w:r w:rsidR="00CC6CE3" w:rsidRPr="000A692A">
        <w:t>Wackenheim</w:t>
      </w:r>
      <w:proofErr w:type="spellEnd"/>
      <w:r w:rsidR="00CC6CE3" w:rsidRPr="000A692A">
        <w:rPr>
          <w:rFonts w:ascii="Times" w:eastAsiaTheme="minorEastAsia" w:hAnsi="Times" w:cs="Times"/>
        </w:rPr>
        <w:t xml:space="preserve"> una verdadera actividad profesional, no puede protegerse </w:t>
      </w:r>
      <w:r w:rsidR="00994579" w:rsidRPr="000A692A">
        <w:rPr>
          <w:rFonts w:ascii="Times" w:eastAsiaTheme="minorEastAsia" w:hAnsi="Times" w:cs="Times"/>
        </w:rPr>
        <w:t xml:space="preserve">en base a </w:t>
      </w:r>
      <w:r w:rsidR="00CC6CE3" w:rsidRPr="000A692A">
        <w:rPr>
          <w:rFonts w:ascii="Times" w:eastAsiaTheme="minorEastAsia" w:hAnsi="Times" w:cs="Times"/>
        </w:rPr>
        <w:t xml:space="preserve">consideraciones relacionadas con el respeto debido a la vida privada. </w:t>
      </w:r>
      <w:r w:rsidR="008B26BF" w:rsidRPr="000A692A">
        <w:rPr>
          <w:rFonts w:ascii="Times" w:eastAsiaTheme="minorEastAsia" w:hAnsi="Times" w:cs="Times"/>
        </w:rPr>
        <w:t xml:space="preserve">En cambio, entiende que </w:t>
      </w:r>
      <w:r w:rsidR="00CC6CE3" w:rsidRPr="000A692A">
        <w:rPr>
          <w:rFonts w:ascii="Times" w:eastAsiaTheme="minorEastAsia" w:hAnsi="Times" w:cs="Times"/>
        </w:rPr>
        <w:t>corresponde más bien a la libertad de trabajo o a la libertad de comercio e industr</w:t>
      </w:r>
      <w:r w:rsidR="008B26BF" w:rsidRPr="000A692A">
        <w:rPr>
          <w:rFonts w:ascii="Times" w:eastAsiaTheme="minorEastAsia" w:hAnsi="Times" w:cs="Times"/>
        </w:rPr>
        <w:t>ia. Y, aunque se llegara a admitir</w:t>
      </w:r>
      <w:r w:rsidR="00CC6CE3" w:rsidRPr="000A692A">
        <w:rPr>
          <w:rFonts w:ascii="Times" w:eastAsiaTheme="minorEastAsia" w:hAnsi="Times" w:cs="Times"/>
        </w:rPr>
        <w:t xml:space="preserve">, la limitación seguiría </w:t>
      </w:r>
      <w:r w:rsidR="008B26BF" w:rsidRPr="000A692A">
        <w:rPr>
          <w:rFonts w:ascii="Times" w:eastAsiaTheme="minorEastAsia" w:hAnsi="Times" w:cs="Times"/>
        </w:rPr>
        <w:t xml:space="preserve">siendo imponible </w:t>
      </w:r>
      <w:r w:rsidR="00CC6CE3" w:rsidRPr="000A692A">
        <w:rPr>
          <w:rFonts w:ascii="Times" w:eastAsiaTheme="minorEastAsia" w:hAnsi="Times" w:cs="Times"/>
        </w:rPr>
        <w:t>en base a consideraciones superiores relacionadas con el debido respeto a la dignidad de la persona.</w:t>
      </w:r>
    </w:p>
    <w:p w:rsidR="00A350DB" w:rsidRPr="000A692A" w:rsidRDefault="00A350DB" w:rsidP="00CC6CE3">
      <w:pPr>
        <w:spacing w:line="240" w:lineRule="auto"/>
        <w:rPr>
          <w:rFonts w:ascii="Times" w:eastAsiaTheme="minorEastAsia" w:hAnsi="Times" w:cs="Times"/>
        </w:rPr>
      </w:pPr>
    </w:p>
    <w:p w:rsidR="00A350DB" w:rsidRPr="000A692A" w:rsidRDefault="00A350DB" w:rsidP="00CC6CE3">
      <w:pPr>
        <w:spacing w:line="240" w:lineRule="auto"/>
        <w:rPr>
          <w:rFonts w:ascii="Times" w:eastAsiaTheme="minorEastAsia" w:hAnsi="Times" w:cs="Times"/>
        </w:rPr>
      </w:pPr>
      <w:r w:rsidRPr="000A692A">
        <w:rPr>
          <w:rFonts w:ascii="Times" w:eastAsiaTheme="minorEastAsia" w:hAnsi="Times" w:cs="Times"/>
        </w:rPr>
        <w:t xml:space="preserve">Tampoco acepta que pueda apreciarse la existencia de una conducta discriminatoria, en la medida que la prohibición sólo </w:t>
      </w:r>
      <w:proofErr w:type="gramStart"/>
      <w:r w:rsidRPr="000A692A">
        <w:rPr>
          <w:rFonts w:ascii="Times" w:eastAsiaTheme="minorEastAsia" w:hAnsi="Times" w:cs="Times"/>
        </w:rPr>
        <w:t>le</w:t>
      </w:r>
      <w:proofErr w:type="gramEnd"/>
      <w:r w:rsidRPr="000A692A">
        <w:rPr>
          <w:rFonts w:ascii="Times" w:eastAsiaTheme="minorEastAsia" w:hAnsi="Times" w:cs="Times"/>
        </w:rPr>
        <w:t xml:space="preserve"> aplique a las personas aquejadas por esta patología, pues, son las únicas a las que puede afectar la actividad prohibida</w:t>
      </w:r>
      <w:r w:rsidR="008B26BF" w:rsidRPr="000A692A">
        <w:rPr>
          <w:rFonts w:ascii="Times" w:eastAsiaTheme="minorEastAsia" w:hAnsi="Times" w:cs="Times"/>
        </w:rPr>
        <w:t xml:space="preserve"> (pues, </w:t>
      </w:r>
      <w:r w:rsidRPr="000A692A">
        <w:rPr>
          <w:rFonts w:ascii="Times" w:eastAsiaTheme="minorEastAsia" w:hAnsi="Times" w:cs="Times"/>
        </w:rPr>
        <w:t>la indignidad de es</w:t>
      </w:r>
      <w:r w:rsidR="008B26BF" w:rsidRPr="000A692A">
        <w:rPr>
          <w:rFonts w:ascii="Times" w:eastAsiaTheme="minorEastAsia" w:hAnsi="Times" w:cs="Times"/>
        </w:rPr>
        <w:t>t</w:t>
      </w:r>
      <w:r w:rsidRPr="000A692A">
        <w:rPr>
          <w:rFonts w:ascii="Times" w:eastAsiaTheme="minorEastAsia" w:hAnsi="Times" w:cs="Times"/>
        </w:rPr>
        <w:t>a actividad se deriva muy particularmente de las peculiaridades físicas de esas personas</w:t>
      </w:r>
      <w:r w:rsidR="008B26BF" w:rsidRPr="000A692A">
        <w:rPr>
          <w:rFonts w:ascii="Times" w:eastAsiaTheme="minorEastAsia" w:hAnsi="Times" w:cs="Times"/>
        </w:rPr>
        <w:t>)</w:t>
      </w:r>
      <w:r w:rsidRPr="000A692A">
        <w:rPr>
          <w:rFonts w:ascii="Times" w:eastAsiaTheme="minorEastAsia" w:hAnsi="Times" w:cs="Times"/>
        </w:rPr>
        <w:t>. Tampoco existe una voluntad deliberada de limitar sin justificación la libertad de trabajo y la libertad de comercio e industria invocando el respeto debido a la persona. La actuación del Estado, dentro del ámbito de la policía administrativa, pretende conciliar el ejercicio de las libertades económicas con el deseo de hacer respetar el orden público, uno de cuyos elementos es la moral pública. De hecho, “sería inquietante que el principio fundamental del respeto debido a la persona humana fuera inferior a consideraciones materiales propias del demandante -</w:t>
      </w:r>
      <w:r w:rsidR="000A692A" w:rsidRPr="000A692A">
        <w:rPr>
          <w:rFonts w:ascii="Times" w:eastAsiaTheme="minorEastAsia" w:hAnsi="Times" w:cs="Times"/>
        </w:rPr>
        <w:t xml:space="preserve"> </w:t>
      </w:r>
      <w:r w:rsidRPr="000A692A">
        <w:rPr>
          <w:rFonts w:ascii="Times" w:eastAsiaTheme="minorEastAsia" w:hAnsi="Times" w:cs="Times"/>
        </w:rPr>
        <w:t>por lo demás poco extendidas</w:t>
      </w:r>
      <w:r w:rsidR="000A692A" w:rsidRPr="000A692A">
        <w:rPr>
          <w:rFonts w:ascii="Times" w:eastAsiaTheme="minorEastAsia" w:hAnsi="Times" w:cs="Times"/>
        </w:rPr>
        <w:t xml:space="preserve"> </w:t>
      </w:r>
      <w:r w:rsidRPr="000A692A">
        <w:rPr>
          <w:rFonts w:ascii="Times" w:eastAsiaTheme="minorEastAsia" w:hAnsi="Times" w:cs="Times"/>
        </w:rPr>
        <w:t>- con el consiguiente daño para el conjunto de la comunidad a la que pertenece”.</w:t>
      </w:r>
    </w:p>
    <w:p w:rsidR="00A350DB" w:rsidRPr="000A692A" w:rsidRDefault="00A350DB" w:rsidP="00CC6CE3">
      <w:pPr>
        <w:spacing w:line="240" w:lineRule="auto"/>
        <w:rPr>
          <w:rFonts w:ascii="Times" w:eastAsiaTheme="minorEastAsia" w:hAnsi="Times" w:cs="Times"/>
        </w:rPr>
      </w:pPr>
    </w:p>
    <w:p w:rsidR="00CA1341" w:rsidRPr="000A692A" w:rsidRDefault="008B26BF" w:rsidP="008B26BF">
      <w:pPr>
        <w:spacing w:line="240" w:lineRule="auto"/>
      </w:pPr>
      <w:r w:rsidRPr="000A692A">
        <w:t>En definitiva, el Co</w:t>
      </w:r>
      <w:r w:rsidR="00EB0891" w:rsidRPr="000A692A">
        <w:t xml:space="preserve">mité de Derechos Humanos, </w:t>
      </w:r>
      <w:r w:rsidRPr="000A692A">
        <w:t>siguiendo el discurso expositivo defendido por Francia, aboga por una concepción fuerte de los principios de integridad e indisponibilidad</w:t>
      </w:r>
      <w:r w:rsidR="00EB0891" w:rsidRPr="000A692A">
        <w:t xml:space="preserve"> y, </w:t>
      </w:r>
      <w:r w:rsidR="000A692A" w:rsidRPr="000A692A">
        <w:t xml:space="preserve">resuelve </w:t>
      </w:r>
      <w:r w:rsidR="00EB0891" w:rsidRPr="000A692A">
        <w:t>que Francia “</w:t>
      </w:r>
      <w:r w:rsidR="00EB0891" w:rsidRPr="000A692A">
        <w:rPr>
          <w:rFonts w:ascii="Times" w:eastAsiaTheme="minorEastAsia" w:hAnsi="Times" w:cs="Times"/>
        </w:rPr>
        <w:t>ha demostrado en el presente caso que la prohibición del lanzamiento de enanos tal y como lo practica el autor no constituye una medida abusiva, sino que es más bien una medida necesaria para proteger el orden público, en el que intervienen en particular consideraciones de dignidad humana”</w:t>
      </w:r>
      <w:r w:rsidR="00D67640" w:rsidRPr="000A692A">
        <w:rPr>
          <w:rStyle w:val="Refernciadenotaapeudepgina"/>
        </w:rPr>
        <w:footnoteReference w:id="15"/>
      </w:r>
      <w:r w:rsidRPr="000A692A">
        <w:t xml:space="preserve">. </w:t>
      </w:r>
    </w:p>
    <w:p w:rsidR="000A692A" w:rsidRPr="007A6CA7" w:rsidRDefault="000A692A" w:rsidP="00A16627">
      <w:pPr>
        <w:spacing w:line="240" w:lineRule="auto"/>
      </w:pPr>
    </w:p>
    <w:p w:rsidR="000A692A" w:rsidRDefault="007A6CA7" w:rsidP="00A16627">
      <w:pPr>
        <w:spacing w:line="240" w:lineRule="auto"/>
      </w:pPr>
      <w:r w:rsidRPr="007A6CA7">
        <w:lastRenderedPageBreak/>
        <w:t xml:space="preserve">Aunque no hemos sido capaces de hallar un caso similar al descrito en nuestro ordenamiento, es probable que nuestros tribunales hubieran reaccionado de un modo similar. </w:t>
      </w:r>
    </w:p>
    <w:p w:rsidR="0024594F" w:rsidRDefault="0024594F" w:rsidP="00A16627">
      <w:pPr>
        <w:spacing w:line="240" w:lineRule="auto"/>
      </w:pPr>
    </w:p>
    <w:p w:rsidR="0024594F" w:rsidRPr="0024594F" w:rsidRDefault="0024594F" w:rsidP="006129A4">
      <w:pPr>
        <w:spacing w:line="240" w:lineRule="auto"/>
      </w:pPr>
      <w:r>
        <w:t>De hecho, la STC 208/2013, en un caso que</w:t>
      </w:r>
      <w:r w:rsidR="006129A4">
        <w:t xml:space="preserve"> – salvando las distancias -</w:t>
      </w:r>
      <w:r>
        <w:t xml:space="preserve"> presenta ciertos paralelismos </w:t>
      </w:r>
      <w:r w:rsidR="006129A4">
        <w:t xml:space="preserve">conceptuales </w:t>
      </w:r>
      <w:r>
        <w:t xml:space="preserve">con el expuesto, </w:t>
      </w:r>
      <w:r w:rsidR="006129A4">
        <w:t>declara que se ha vulnerado el derecho al honor, a la propia imagen y el derecho a</w:t>
      </w:r>
      <w:r w:rsidR="00F21465">
        <w:t xml:space="preserve"> </w:t>
      </w:r>
      <w:r w:rsidR="006129A4">
        <w:t>la dignidad de</w:t>
      </w:r>
      <w:r>
        <w:t xml:space="preserve"> una persona con un 66% de discapacidad física y psíquica, que fue entrevistado en un programa de televisión, utilizando su situación de vulnerabilidad </w:t>
      </w:r>
      <w:r w:rsidRPr="0024594F">
        <w:t>“con la clara y censurable intención de burlarse de sus condiciones físicas y psíquicas</w:t>
      </w:r>
      <w:r w:rsidR="006129A4">
        <w:t>”</w:t>
      </w:r>
      <w:r w:rsidRPr="0024594F">
        <w:t>.</w:t>
      </w:r>
      <w:r>
        <w:t xml:space="preserve"> En este supuesto, declara el TC</w:t>
      </w:r>
      <w:r w:rsidR="006129A4">
        <w:t>,</w:t>
      </w:r>
      <w:r>
        <w:t xml:space="preserve"> “</w:t>
      </w:r>
      <w:r w:rsidRPr="006129A4">
        <w:t>no basta con presumir la voluntad por el hecho de realizar la entrevista, sino que era necesario que constara expresamente el consentimiento</w:t>
      </w:r>
      <w:r w:rsidR="006129A4">
        <w:t>” (</w:t>
      </w:r>
      <w:r w:rsidRPr="006129A4">
        <w:t xml:space="preserve">constancia que no </w:t>
      </w:r>
      <w:r w:rsidR="006129A4">
        <w:t xml:space="preserve">queda </w:t>
      </w:r>
      <w:r w:rsidRPr="006129A4">
        <w:t>probada</w:t>
      </w:r>
      <w:r w:rsidR="006129A4">
        <w:t xml:space="preserve"> en el caso)</w:t>
      </w:r>
      <w:r w:rsidRPr="006129A4">
        <w:t>.</w:t>
      </w:r>
    </w:p>
    <w:p w:rsidR="007A6CA7" w:rsidRPr="000A692A" w:rsidRDefault="007A6CA7" w:rsidP="00A16627">
      <w:pPr>
        <w:spacing w:line="240" w:lineRule="auto"/>
        <w:rPr>
          <w:b/>
        </w:rPr>
      </w:pPr>
    </w:p>
    <w:p w:rsidR="00BC7610" w:rsidRPr="000A692A" w:rsidRDefault="008329DF" w:rsidP="00BC7610">
      <w:pPr>
        <w:widowControl w:val="0"/>
        <w:tabs>
          <w:tab w:val="clear" w:pos="3420"/>
        </w:tabs>
        <w:adjustRightInd w:val="0"/>
        <w:spacing w:line="240" w:lineRule="auto"/>
        <w:rPr>
          <w:rFonts w:eastAsiaTheme="minorEastAsia"/>
          <w:b/>
        </w:rPr>
      </w:pPr>
      <w:r w:rsidRPr="000A692A">
        <w:rPr>
          <w:b/>
        </w:rPr>
        <w:t xml:space="preserve">4. </w:t>
      </w:r>
      <w:r w:rsidR="00BC7610" w:rsidRPr="000A692A">
        <w:rPr>
          <w:rFonts w:eastAsiaTheme="minorEastAsia"/>
          <w:b/>
        </w:rPr>
        <w:t>La “actividad de alterne”: un ejemplo de devaluación de los</w:t>
      </w:r>
      <w:r w:rsidR="008579CC">
        <w:rPr>
          <w:rFonts w:eastAsiaTheme="minorEastAsia"/>
          <w:b/>
        </w:rPr>
        <w:t xml:space="preserve"> principios de integridad</w:t>
      </w:r>
      <w:r w:rsidR="00BC7610" w:rsidRPr="000A692A">
        <w:rPr>
          <w:rFonts w:eastAsiaTheme="minorEastAsia"/>
          <w:b/>
        </w:rPr>
        <w:t xml:space="preserve"> e indisponibilidad</w:t>
      </w:r>
    </w:p>
    <w:p w:rsidR="00AF767B" w:rsidRPr="000A692A" w:rsidRDefault="00AF767B" w:rsidP="00E370D4">
      <w:pPr>
        <w:widowControl w:val="0"/>
        <w:tabs>
          <w:tab w:val="clear" w:pos="3420"/>
        </w:tabs>
        <w:adjustRightInd w:val="0"/>
        <w:spacing w:line="240" w:lineRule="auto"/>
        <w:rPr>
          <w:rFonts w:eastAsiaTheme="minorEastAsia"/>
        </w:rPr>
      </w:pPr>
    </w:p>
    <w:p w:rsidR="00732B47" w:rsidRDefault="003172D1" w:rsidP="00E370D4">
      <w:pPr>
        <w:tabs>
          <w:tab w:val="clear" w:pos="3420"/>
        </w:tabs>
        <w:autoSpaceDE/>
        <w:autoSpaceDN/>
        <w:spacing w:line="240" w:lineRule="auto"/>
        <w:rPr>
          <w:rStyle w:val="apple-converted-space"/>
          <w:color w:val="000000"/>
        </w:rPr>
      </w:pPr>
      <w:r w:rsidRPr="003172D1">
        <w:rPr>
          <w:color w:val="000000"/>
        </w:rPr>
        <w:t xml:space="preserve">El Código Penal, siguiendo la exposición de la </w:t>
      </w:r>
      <w:r w:rsidRPr="003172D1">
        <w:t>SAN 23 de diciembre 2003</w:t>
      </w:r>
      <w:r w:rsidRPr="003172D1">
        <w:rPr>
          <w:rStyle w:val="Refernciadenotaapeudepgina"/>
        </w:rPr>
        <w:footnoteReference w:id="16"/>
      </w:r>
      <w:r>
        <w:t>,</w:t>
      </w:r>
      <w:r w:rsidRPr="003172D1">
        <w:rPr>
          <w:color w:val="000000"/>
        </w:rPr>
        <w:t xml:space="preserve"> </w:t>
      </w:r>
      <w:r>
        <w:rPr>
          <w:color w:val="000000"/>
        </w:rPr>
        <w:t>“</w:t>
      </w:r>
      <w:r w:rsidRPr="003172D1">
        <w:rPr>
          <w:color w:val="000000"/>
        </w:rPr>
        <w:t>tipifica la prostitución que entiende incompatible con la ética constitucional y a contrario sensu de su texto, perfila la que ésta permite. Al efecto la frontera no la fija el carácter altruista o remuneratorio del intercambio sexual, sino la libertad con que el mismo se presta. La relación pues no es antijurídica, por razones causales (el chalaneo prestacional) o por el objeto del intercambio sino sólo en atención al consentimiento con que se presta el favor sexual sea porque la capacidad del arrendador está limitad</w:t>
      </w:r>
      <w:r w:rsidR="00732B47">
        <w:rPr>
          <w:color w:val="000000"/>
        </w:rPr>
        <w:t>a</w:t>
      </w:r>
      <w:r w:rsidRPr="003172D1">
        <w:rPr>
          <w:color w:val="000000"/>
        </w:rPr>
        <w:t xml:space="preserve"> —menores o incapaces—, sea porque su voluntad está viciada, en el supuesto de los capaces. La regulación es pues clara. En el Estado democrático de Derecho se rechaza, el atentado a la libertad, pero no el ejercicio de ésta</w:t>
      </w:r>
      <w:r>
        <w:rPr>
          <w:color w:val="000000"/>
        </w:rPr>
        <w:t>”</w:t>
      </w:r>
      <w:r w:rsidRPr="003172D1">
        <w:rPr>
          <w:color w:val="000000"/>
        </w:rPr>
        <w:t>.</w:t>
      </w:r>
      <w:r w:rsidRPr="003172D1">
        <w:rPr>
          <w:rStyle w:val="apple-converted-space"/>
          <w:color w:val="000000"/>
        </w:rPr>
        <w:t> </w:t>
      </w:r>
    </w:p>
    <w:p w:rsidR="00732B47" w:rsidRDefault="00732B47" w:rsidP="00E370D4">
      <w:pPr>
        <w:tabs>
          <w:tab w:val="clear" w:pos="3420"/>
        </w:tabs>
        <w:autoSpaceDE/>
        <w:autoSpaceDN/>
        <w:spacing w:line="240" w:lineRule="auto"/>
        <w:rPr>
          <w:rStyle w:val="apple-converted-space"/>
          <w:color w:val="000000"/>
        </w:rPr>
      </w:pPr>
    </w:p>
    <w:p w:rsidR="003172D1" w:rsidRPr="003172D1" w:rsidRDefault="003172D1" w:rsidP="00E370D4">
      <w:pPr>
        <w:tabs>
          <w:tab w:val="clear" w:pos="3420"/>
        </w:tabs>
        <w:autoSpaceDE/>
        <w:autoSpaceDN/>
        <w:spacing w:line="240" w:lineRule="auto"/>
        <w:rPr>
          <w:rFonts w:eastAsiaTheme="minorEastAsia"/>
        </w:rPr>
      </w:pPr>
      <w:r>
        <w:rPr>
          <w:rFonts w:eastAsiaTheme="minorEastAsia"/>
        </w:rPr>
        <w:t xml:space="preserve">No obstante, </w:t>
      </w:r>
      <w:r w:rsidR="00732B47">
        <w:rPr>
          <w:rFonts w:eastAsiaTheme="minorEastAsia"/>
        </w:rPr>
        <w:t xml:space="preserve">dicho esto, </w:t>
      </w:r>
      <w:r w:rsidRPr="000A692A">
        <w:rPr>
          <w:rFonts w:eastAsiaTheme="minorEastAsia"/>
        </w:rPr>
        <w:t xml:space="preserve">sorprende la </w:t>
      </w:r>
      <w:r w:rsidR="00731C03">
        <w:rPr>
          <w:rFonts w:eastAsiaTheme="minorEastAsia"/>
        </w:rPr>
        <w:t xml:space="preserve">total </w:t>
      </w:r>
      <w:r w:rsidRPr="000A692A">
        <w:rPr>
          <w:rFonts w:eastAsiaTheme="minorEastAsia"/>
        </w:rPr>
        <w:t>inhibición normativa al respecto</w:t>
      </w:r>
      <w:r w:rsidRPr="000A692A">
        <w:rPr>
          <w:rStyle w:val="Refernciadenotaapeudepgina"/>
          <w:rFonts w:eastAsiaTheme="minorEastAsia"/>
        </w:rPr>
        <w:footnoteReference w:id="17"/>
      </w:r>
      <w:r w:rsidR="004B45E3">
        <w:rPr>
          <w:rFonts w:eastAsiaTheme="minorEastAsia"/>
        </w:rPr>
        <w:t>.</w:t>
      </w:r>
    </w:p>
    <w:p w:rsidR="003172D1" w:rsidRDefault="003172D1" w:rsidP="00E370D4">
      <w:pPr>
        <w:tabs>
          <w:tab w:val="clear" w:pos="3420"/>
        </w:tabs>
        <w:autoSpaceDE/>
        <w:autoSpaceDN/>
        <w:spacing w:line="240" w:lineRule="auto"/>
        <w:rPr>
          <w:rFonts w:eastAsiaTheme="minorEastAsia"/>
        </w:rPr>
      </w:pPr>
    </w:p>
    <w:p w:rsidR="002269E4" w:rsidRDefault="003172D1" w:rsidP="00E370D4">
      <w:pPr>
        <w:tabs>
          <w:tab w:val="clear" w:pos="3420"/>
        </w:tabs>
        <w:autoSpaceDE/>
        <w:autoSpaceDN/>
        <w:spacing w:line="240" w:lineRule="auto"/>
        <w:rPr>
          <w:rFonts w:eastAsiaTheme="minorEastAsia"/>
        </w:rPr>
      </w:pPr>
      <w:r w:rsidRPr="003172D1">
        <w:rPr>
          <w:rFonts w:eastAsiaTheme="minorEastAsia"/>
        </w:rPr>
        <w:t xml:space="preserve">Este escenario ha llevado a los Tribunales laborales a tener que lidiar con la cuestión relativa a si prostitución </w:t>
      </w:r>
      <w:r>
        <w:rPr>
          <w:rFonts w:eastAsiaTheme="minorEastAsia"/>
        </w:rPr>
        <w:t>es</w:t>
      </w:r>
      <w:r w:rsidRPr="003172D1">
        <w:rPr>
          <w:rFonts w:eastAsiaTheme="minorEastAsia"/>
        </w:rPr>
        <w:t xml:space="preserve"> una “actividad” subsumible en la categoría del trabajo por cuenta</w:t>
      </w:r>
      <w:r w:rsidRPr="000A692A">
        <w:rPr>
          <w:rFonts w:eastAsiaTheme="minorEastAsia"/>
        </w:rPr>
        <w:t xml:space="preserve"> ajena o no</w:t>
      </w:r>
      <w:r w:rsidR="00732B47">
        <w:rPr>
          <w:rFonts w:eastAsiaTheme="minorEastAsia"/>
        </w:rPr>
        <w:t xml:space="preserve">. </w:t>
      </w:r>
      <w:r w:rsidR="00F114E3">
        <w:rPr>
          <w:rFonts w:eastAsiaTheme="minorEastAsia"/>
        </w:rPr>
        <w:t xml:space="preserve">En este sentido, si bien se ha mantenido </w:t>
      </w:r>
      <w:r w:rsidR="00B03237">
        <w:rPr>
          <w:rFonts w:eastAsiaTheme="minorEastAsia"/>
        </w:rPr>
        <w:t xml:space="preserve">un criterio negativo </w:t>
      </w:r>
      <w:r w:rsidR="00F114E3">
        <w:rPr>
          <w:rFonts w:eastAsiaTheme="minorEastAsia"/>
        </w:rPr>
        <w:t xml:space="preserve">mayoritario </w:t>
      </w:r>
      <w:r w:rsidR="00B03237">
        <w:rPr>
          <w:rFonts w:eastAsiaTheme="minorEastAsia"/>
        </w:rPr>
        <w:t>al respecto</w:t>
      </w:r>
      <w:r w:rsidR="00B03237">
        <w:rPr>
          <w:rStyle w:val="Refernciadenotaapeudepgina"/>
          <w:rFonts w:eastAsiaTheme="minorEastAsia"/>
        </w:rPr>
        <w:footnoteReference w:id="18"/>
      </w:r>
      <w:r w:rsidR="00F114E3">
        <w:rPr>
          <w:rFonts w:eastAsiaTheme="minorEastAsia"/>
        </w:rPr>
        <w:t xml:space="preserve">, </w:t>
      </w:r>
      <w:r w:rsidR="002269E4">
        <w:rPr>
          <w:rFonts w:eastAsiaTheme="minorEastAsia"/>
        </w:rPr>
        <w:t>l</w:t>
      </w:r>
      <w:r w:rsidR="002269E4" w:rsidRPr="003172D1">
        <w:rPr>
          <w:rFonts w:eastAsiaTheme="minorEastAsia"/>
        </w:rPr>
        <w:t xml:space="preserve">a </w:t>
      </w:r>
      <w:r w:rsidR="002269E4">
        <w:rPr>
          <w:rFonts w:eastAsiaTheme="minorEastAsia"/>
        </w:rPr>
        <w:t>“</w:t>
      </w:r>
      <w:r w:rsidR="002269E4" w:rsidRPr="003172D1">
        <w:rPr>
          <w:rFonts w:eastAsiaTheme="minorEastAsia"/>
        </w:rPr>
        <w:t>fórmula</w:t>
      </w:r>
      <w:r w:rsidR="002269E4">
        <w:rPr>
          <w:rFonts w:eastAsiaTheme="minorEastAsia"/>
        </w:rPr>
        <w:t>”</w:t>
      </w:r>
      <w:r w:rsidR="002269E4" w:rsidRPr="003172D1">
        <w:rPr>
          <w:rFonts w:eastAsiaTheme="minorEastAsia"/>
        </w:rPr>
        <w:t xml:space="preserve"> de la actividad de “alterne”</w:t>
      </w:r>
      <w:r w:rsidR="00B03237">
        <w:rPr>
          <w:rFonts w:eastAsiaTheme="minorEastAsia"/>
        </w:rPr>
        <w:t xml:space="preserve"> (por cuenta ajena o </w:t>
      </w:r>
      <w:r w:rsidR="00B03237">
        <w:rPr>
          <w:rFonts w:eastAsiaTheme="minorEastAsia"/>
        </w:rPr>
        <w:lastRenderedPageBreak/>
        <w:t>propia)</w:t>
      </w:r>
      <w:r w:rsidR="00F114E3">
        <w:rPr>
          <w:rFonts w:eastAsiaTheme="minorEastAsia"/>
        </w:rPr>
        <w:t xml:space="preserve"> </w:t>
      </w:r>
      <w:r w:rsidR="002269E4">
        <w:rPr>
          <w:rFonts w:eastAsiaTheme="minorEastAsia"/>
        </w:rPr>
        <w:t>ha contribuido a dar cierta cobertura a las mujeres implicadas</w:t>
      </w:r>
      <w:r w:rsidR="002269E4" w:rsidRPr="003172D1">
        <w:rPr>
          <w:rStyle w:val="Refernciadenotaapeudepgina"/>
          <w:rFonts w:eastAsiaTheme="minorEastAsia"/>
        </w:rPr>
        <w:footnoteReference w:id="19"/>
      </w:r>
      <w:r w:rsidR="00F114E3">
        <w:rPr>
          <w:rFonts w:eastAsiaTheme="minorEastAsia"/>
        </w:rPr>
        <w:t>. Lo que se ha</w:t>
      </w:r>
      <w:r w:rsidR="002269E4" w:rsidRPr="003172D1">
        <w:rPr>
          <w:rFonts w:eastAsiaTheme="minorEastAsia"/>
        </w:rPr>
        <w:t xml:space="preserve"> erigido en una “sutil” vía de escape</w:t>
      </w:r>
      <w:r w:rsidR="002269E4">
        <w:rPr>
          <w:rFonts w:eastAsiaTheme="minorEastAsia"/>
        </w:rPr>
        <w:t xml:space="preserve"> del problema de fondo. </w:t>
      </w:r>
    </w:p>
    <w:p w:rsidR="00731C03" w:rsidRDefault="00731C03" w:rsidP="00E370D4">
      <w:pPr>
        <w:tabs>
          <w:tab w:val="clear" w:pos="3420"/>
        </w:tabs>
        <w:autoSpaceDE/>
        <w:autoSpaceDN/>
        <w:spacing w:line="240" w:lineRule="auto"/>
        <w:rPr>
          <w:rFonts w:eastAsiaTheme="minorEastAsia"/>
        </w:rPr>
      </w:pPr>
    </w:p>
    <w:p w:rsidR="006E5F35" w:rsidRDefault="002C5553" w:rsidP="00E370D4">
      <w:pPr>
        <w:tabs>
          <w:tab w:val="clear" w:pos="3420"/>
        </w:tabs>
        <w:autoSpaceDE/>
        <w:autoSpaceDN/>
        <w:spacing w:line="240" w:lineRule="auto"/>
        <w:rPr>
          <w:rFonts w:eastAsiaTheme="minorEastAsia"/>
        </w:rPr>
      </w:pPr>
      <w:r>
        <w:rPr>
          <w:rFonts w:eastAsiaTheme="minorEastAsia"/>
        </w:rPr>
        <w:t>Aunque s</w:t>
      </w:r>
      <w:r w:rsidR="00090AD6">
        <w:rPr>
          <w:rFonts w:eastAsiaTheme="minorEastAsia"/>
        </w:rPr>
        <w:t>e han hecho esfuerzos para extender la ilicitud de la prostitución a la actividad de alterne, especialmente, en aquellos supuestos en los que se ejercen en el mismo local</w:t>
      </w:r>
      <w:r w:rsidR="00090AD6">
        <w:rPr>
          <w:rStyle w:val="Refernciadenotaapeudepgina"/>
          <w:rFonts w:eastAsiaTheme="minorEastAsia"/>
        </w:rPr>
        <w:footnoteReference w:id="20"/>
      </w:r>
      <w:r>
        <w:rPr>
          <w:rFonts w:eastAsiaTheme="minorEastAsia"/>
        </w:rPr>
        <w:t>,</w:t>
      </w:r>
      <w:r w:rsidR="0063160A">
        <w:rPr>
          <w:rFonts w:eastAsiaTheme="minorEastAsia"/>
        </w:rPr>
        <w:t xml:space="preserve"> </w:t>
      </w:r>
      <w:r w:rsidR="00235481">
        <w:rPr>
          <w:rFonts w:eastAsiaTheme="minorEastAsia"/>
        </w:rPr>
        <w:t xml:space="preserve">los Tribunales abogan mayoritariamente </w:t>
      </w:r>
      <w:r w:rsidR="00677FBA">
        <w:rPr>
          <w:rFonts w:eastAsiaTheme="minorEastAsia"/>
        </w:rPr>
        <w:t>por defender la inexistencia de una unidad de contrato.</w:t>
      </w:r>
      <w:r w:rsidR="001C2FA3">
        <w:rPr>
          <w:rFonts w:eastAsiaTheme="minorEastAsia"/>
        </w:rPr>
        <w:t xml:space="preserve"> Si bien es cierto que de este modo consiguen no adentrarse en el alambicado papel de convertirse en Legisladores</w:t>
      </w:r>
      <w:r w:rsidR="00682CB3">
        <w:rPr>
          <w:rFonts w:eastAsiaTheme="minorEastAsia"/>
        </w:rPr>
        <w:t xml:space="preserve"> (pues, no les corresponde)</w:t>
      </w:r>
      <w:r w:rsidR="001C2FA3">
        <w:rPr>
          <w:rFonts w:eastAsiaTheme="minorEastAsia"/>
        </w:rPr>
        <w:t xml:space="preserve">, en paralelo, es claro que </w:t>
      </w:r>
      <w:r w:rsidR="00BB5E7C">
        <w:rPr>
          <w:rFonts w:eastAsiaTheme="minorEastAsia"/>
        </w:rPr>
        <w:t xml:space="preserve">con esta doctrina la prostitución </w:t>
      </w:r>
      <w:r w:rsidR="009C2E0C">
        <w:rPr>
          <w:rFonts w:eastAsiaTheme="minorEastAsia"/>
        </w:rPr>
        <w:t xml:space="preserve">(acompañada o no de una previa actividad de alterne) </w:t>
      </w:r>
      <w:r w:rsidR="00BB5E7C">
        <w:rPr>
          <w:rFonts w:eastAsiaTheme="minorEastAsia"/>
        </w:rPr>
        <w:t>sigue permaneciendo en “tierra de nadie”.</w:t>
      </w:r>
      <w:r w:rsidR="001C2FA3">
        <w:rPr>
          <w:rFonts w:eastAsiaTheme="minorEastAsia"/>
        </w:rPr>
        <w:t xml:space="preserve"> </w:t>
      </w:r>
    </w:p>
    <w:p w:rsidR="006E5F35" w:rsidRDefault="006E5F35" w:rsidP="00E370D4">
      <w:pPr>
        <w:tabs>
          <w:tab w:val="clear" w:pos="3420"/>
        </w:tabs>
        <w:autoSpaceDE/>
        <w:autoSpaceDN/>
        <w:spacing w:line="240" w:lineRule="auto"/>
        <w:rPr>
          <w:rFonts w:eastAsiaTheme="minorEastAsia"/>
        </w:rPr>
      </w:pPr>
    </w:p>
    <w:p w:rsidR="003A4358" w:rsidRDefault="003A4358" w:rsidP="003A4358">
      <w:pPr>
        <w:tabs>
          <w:tab w:val="clear" w:pos="3420"/>
        </w:tabs>
        <w:autoSpaceDE/>
        <w:autoSpaceDN/>
        <w:spacing w:line="240" w:lineRule="auto"/>
        <w:rPr>
          <w:rFonts w:eastAsiaTheme="minorEastAsia"/>
        </w:rPr>
      </w:pPr>
      <w:r>
        <w:rPr>
          <w:rFonts w:eastAsiaTheme="minorEastAsia"/>
        </w:rPr>
        <w:t>Lo que, en conjunto, arroja un resultado,</w:t>
      </w:r>
      <w:r w:rsidRPr="003172D1">
        <w:rPr>
          <w:rFonts w:eastAsiaTheme="minorEastAsia"/>
        </w:rPr>
        <w:t xml:space="preserve"> a todas luces, insuficiente, atendiendo a la magnitud del fenómeno y su singular complejidad. </w:t>
      </w:r>
    </w:p>
    <w:p w:rsidR="003A4358" w:rsidRDefault="003A4358" w:rsidP="00E370D4">
      <w:pPr>
        <w:tabs>
          <w:tab w:val="clear" w:pos="3420"/>
        </w:tabs>
        <w:autoSpaceDE/>
        <w:autoSpaceDN/>
        <w:spacing w:line="240" w:lineRule="auto"/>
        <w:rPr>
          <w:rFonts w:eastAsiaTheme="minorEastAsia"/>
        </w:rPr>
      </w:pPr>
    </w:p>
    <w:p w:rsidR="00235481" w:rsidRDefault="00235481" w:rsidP="00E370D4">
      <w:pPr>
        <w:tabs>
          <w:tab w:val="clear" w:pos="3420"/>
        </w:tabs>
        <w:autoSpaceDE/>
        <w:autoSpaceDN/>
        <w:spacing w:line="240" w:lineRule="auto"/>
        <w:rPr>
          <w:rFonts w:eastAsiaTheme="minorEastAsia"/>
        </w:rPr>
      </w:pPr>
      <w:r>
        <w:rPr>
          <w:rFonts w:eastAsiaTheme="minorEastAsia"/>
        </w:rPr>
        <w:t>Sin embargo, si bien es cierto que la prostitución libremente consentida no es un ilícito penal y, a su vez, en ningún caso podría incardinarse en una relación por cuenta ajena (por tratarse de un objeto contractual ilícito en términos laborales), esto no significa que, desde la perspectiva de la dogmática jurídica</w:t>
      </w:r>
      <w:r w:rsidR="00E121B4">
        <w:rPr>
          <w:rFonts w:eastAsiaTheme="minorEastAsia"/>
        </w:rPr>
        <w:t xml:space="preserve"> (y atendiendo al marco normativo vigente)</w:t>
      </w:r>
      <w:r>
        <w:rPr>
          <w:rFonts w:eastAsiaTheme="minorEastAsia"/>
        </w:rPr>
        <w:t xml:space="preserve">, cuando se produce “por cuenta propia” </w:t>
      </w:r>
      <w:r w:rsidR="002F550B">
        <w:rPr>
          <w:rFonts w:eastAsiaTheme="minorEastAsia"/>
        </w:rPr>
        <w:t xml:space="preserve">también </w:t>
      </w:r>
      <w:r>
        <w:rPr>
          <w:rFonts w:eastAsiaTheme="minorEastAsia"/>
        </w:rPr>
        <w:t>p</w:t>
      </w:r>
      <w:r w:rsidR="00E121B4">
        <w:rPr>
          <w:rFonts w:eastAsiaTheme="minorEastAsia"/>
        </w:rPr>
        <w:t xml:space="preserve">odría </w:t>
      </w:r>
      <w:r>
        <w:rPr>
          <w:rFonts w:eastAsiaTheme="minorEastAsia"/>
        </w:rPr>
        <w:t>ser declarada como un ilícito civil/mercantil, pues, sería posible defender que se trata de una transacción cuyo objeto se halla fuera del comercio</w:t>
      </w:r>
      <w:r>
        <w:rPr>
          <w:rStyle w:val="Refernciadenotaapeudepgina"/>
          <w:rFonts w:eastAsiaTheme="minorEastAsia"/>
        </w:rPr>
        <w:footnoteReference w:id="21"/>
      </w:r>
      <w:r w:rsidRPr="000A692A">
        <w:rPr>
          <w:rFonts w:eastAsiaTheme="minorEastAsia"/>
        </w:rPr>
        <w:t>.</w:t>
      </w:r>
      <w:r>
        <w:rPr>
          <w:rFonts w:eastAsiaTheme="minorEastAsia"/>
        </w:rPr>
        <w:t xml:space="preserve"> </w:t>
      </w:r>
    </w:p>
    <w:p w:rsidR="00235481" w:rsidRDefault="00235481" w:rsidP="00E370D4">
      <w:pPr>
        <w:tabs>
          <w:tab w:val="clear" w:pos="3420"/>
        </w:tabs>
        <w:autoSpaceDE/>
        <w:autoSpaceDN/>
        <w:spacing w:line="240" w:lineRule="auto"/>
        <w:rPr>
          <w:rFonts w:eastAsiaTheme="minorEastAsia"/>
        </w:rPr>
      </w:pPr>
    </w:p>
    <w:p w:rsidR="001C6242" w:rsidRDefault="002F550B" w:rsidP="00BB5E7C">
      <w:pPr>
        <w:tabs>
          <w:tab w:val="clear" w:pos="3420"/>
        </w:tabs>
        <w:autoSpaceDE/>
        <w:autoSpaceDN/>
        <w:spacing w:line="240" w:lineRule="auto"/>
        <w:rPr>
          <w:rFonts w:eastAsiaTheme="minorEastAsia"/>
        </w:rPr>
      </w:pPr>
      <w:r>
        <w:rPr>
          <w:rFonts w:eastAsiaTheme="minorEastAsia"/>
        </w:rPr>
        <w:t xml:space="preserve">En todo caso, </w:t>
      </w:r>
      <w:r w:rsidR="00662088">
        <w:rPr>
          <w:rFonts w:eastAsiaTheme="minorEastAsia"/>
        </w:rPr>
        <w:t xml:space="preserve">a partir de todo </w:t>
      </w:r>
      <w:r>
        <w:rPr>
          <w:rFonts w:eastAsiaTheme="minorEastAsia"/>
        </w:rPr>
        <w:t xml:space="preserve">lo expuesto, </w:t>
      </w:r>
      <w:r w:rsidR="00662088">
        <w:rPr>
          <w:rFonts w:eastAsiaTheme="minorEastAsia"/>
        </w:rPr>
        <w:t xml:space="preserve">podemos tratar de sintetizar el </w:t>
      </w:r>
      <w:r w:rsidR="001C6242">
        <w:rPr>
          <w:rFonts w:eastAsiaTheme="minorEastAsia"/>
        </w:rPr>
        <w:t>conflicto</w:t>
      </w:r>
      <w:r w:rsidR="009468DD">
        <w:rPr>
          <w:rFonts w:eastAsiaTheme="minorEastAsia"/>
        </w:rPr>
        <w:t xml:space="preserve"> </w:t>
      </w:r>
      <w:r w:rsidR="00870DA4">
        <w:rPr>
          <w:rFonts w:eastAsiaTheme="minorEastAsia"/>
        </w:rPr>
        <w:t>a través de</w:t>
      </w:r>
      <w:r w:rsidR="001C6242">
        <w:rPr>
          <w:rFonts w:eastAsiaTheme="minorEastAsia"/>
        </w:rPr>
        <w:t xml:space="preserve"> la siguiente matriz</w:t>
      </w:r>
      <w:r w:rsidR="00870DA4">
        <w:rPr>
          <w:rFonts w:eastAsiaTheme="minorEastAsia"/>
        </w:rPr>
        <w:t xml:space="preserve"> conceptual</w:t>
      </w:r>
      <w:r w:rsidR="001C6242">
        <w:rPr>
          <w:rFonts w:eastAsiaTheme="minorEastAsia"/>
        </w:rPr>
        <w:t>:</w:t>
      </w:r>
    </w:p>
    <w:p w:rsidR="008B0A57" w:rsidRDefault="008B0A57" w:rsidP="00BB5E7C">
      <w:pPr>
        <w:tabs>
          <w:tab w:val="clear" w:pos="3420"/>
        </w:tabs>
        <w:autoSpaceDE/>
        <w:autoSpaceDN/>
        <w:spacing w:line="240" w:lineRule="auto"/>
        <w:rPr>
          <w:rFonts w:eastAsiaTheme="minorEastAsia"/>
        </w:rPr>
      </w:pPr>
      <w:r>
        <w:rPr>
          <w:rFonts w:eastAsiaTheme="minorEastAsia"/>
        </w:rPr>
        <w:t xml:space="preserve"> </w:t>
      </w:r>
    </w:p>
    <w:p w:rsidR="008B0A57" w:rsidRDefault="009468DD" w:rsidP="009468DD">
      <w:pPr>
        <w:tabs>
          <w:tab w:val="clear" w:pos="3420"/>
        </w:tabs>
        <w:autoSpaceDE/>
        <w:autoSpaceDN/>
        <w:spacing w:line="240" w:lineRule="auto"/>
        <w:ind w:left="708"/>
        <w:rPr>
          <w:rFonts w:eastAsiaTheme="minorEastAsia"/>
        </w:rPr>
      </w:pPr>
      <w:r>
        <w:rPr>
          <w:rFonts w:eastAsiaTheme="minorEastAsia"/>
        </w:rPr>
        <w:t>1</w:t>
      </w:r>
      <w:r w:rsidR="008B0A57">
        <w:rPr>
          <w:rFonts w:eastAsiaTheme="minorEastAsia"/>
        </w:rPr>
        <w:t>. L</w:t>
      </w:r>
      <w:r w:rsidR="00BB5E7C">
        <w:rPr>
          <w:rFonts w:eastAsiaTheme="minorEastAsia"/>
        </w:rPr>
        <w:t xml:space="preserve">a prostitución libremente consentida </w:t>
      </w:r>
      <w:r w:rsidR="00EC2F1E">
        <w:rPr>
          <w:rFonts w:eastAsiaTheme="minorEastAsia"/>
        </w:rPr>
        <w:t xml:space="preserve">y ejercida </w:t>
      </w:r>
      <w:r w:rsidR="00BB5E7C">
        <w:rPr>
          <w:rFonts w:eastAsiaTheme="minorEastAsia"/>
        </w:rPr>
        <w:t>no puede s</w:t>
      </w:r>
      <w:r w:rsidR="00FB6967">
        <w:rPr>
          <w:rFonts w:eastAsiaTheme="minorEastAsia"/>
        </w:rPr>
        <w:t>er declarada penalmente ilícita</w:t>
      </w:r>
      <w:r>
        <w:rPr>
          <w:rFonts w:eastAsiaTheme="minorEastAsia"/>
        </w:rPr>
        <w:t>.</w:t>
      </w:r>
    </w:p>
    <w:p w:rsidR="00235481" w:rsidRDefault="009468DD" w:rsidP="00235481">
      <w:pPr>
        <w:tabs>
          <w:tab w:val="clear" w:pos="3420"/>
        </w:tabs>
        <w:autoSpaceDE/>
        <w:autoSpaceDN/>
        <w:spacing w:line="240" w:lineRule="auto"/>
        <w:ind w:left="708"/>
        <w:rPr>
          <w:rFonts w:eastAsiaTheme="minorEastAsia"/>
        </w:rPr>
      </w:pPr>
      <w:r>
        <w:rPr>
          <w:rFonts w:eastAsiaTheme="minorEastAsia"/>
        </w:rPr>
        <w:t>2</w:t>
      </w:r>
      <w:r w:rsidR="008B0A57">
        <w:rPr>
          <w:rFonts w:eastAsiaTheme="minorEastAsia"/>
        </w:rPr>
        <w:t>.</w:t>
      </w:r>
      <w:r w:rsidR="00235481">
        <w:rPr>
          <w:rFonts w:eastAsiaTheme="minorEastAsia"/>
        </w:rPr>
        <w:t xml:space="preserve"> El “alterne” por cuenta ajena </w:t>
      </w:r>
      <w:r w:rsidR="0051759B">
        <w:rPr>
          <w:rFonts w:eastAsiaTheme="minorEastAsia"/>
        </w:rPr>
        <w:t xml:space="preserve">(y por cuenta propia también) </w:t>
      </w:r>
      <w:r w:rsidR="00235481">
        <w:rPr>
          <w:rFonts w:eastAsiaTheme="minorEastAsia"/>
        </w:rPr>
        <w:t>ha quedado jurisdiccionalmente “legalizado”</w:t>
      </w:r>
      <w:r w:rsidR="002F550B">
        <w:rPr>
          <w:rFonts w:eastAsiaTheme="minorEastAsia"/>
        </w:rPr>
        <w:t xml:space="preserve"> (pudiéndose constituir un</w:t>
      </w:r>
      <w:r w:rsidR="00EC2F1E">
        <w:rPr>
          <w:rFonts w:eastAsiaTheme="minorEastAsia"/>
        </w:rPr>
        <w:t>a relación contractual al amparo</w:t>
      </w:r>
      <w:r w:rsidR="002F550B">
        <w:rPr>
          <w:rFonts w:eastAsiaTheme="minorEastAsia"/>
        </w:rPr>
        <w:t xml:space="preserve"> </w:t>
      </w:r>
      <w:r w:rsidR="00EC2F1E">
        <w:rPr>
          <w:rFonts w:eastAsiaTheme="minorEastAsia"/>
        </w:rPr>
        <w:t>de la legislación laboral</w:t>
      </w:r>
      <w:r w:rsidR="002F550B">
        <w:rPr>
          <w:rFonts w:eastAsiaTheme="minorEastAsia"/>
        </w:rPr>
        <w:t>)</w:t>
      </w:r>
      <w:r w:rsidR="00235481">
        <w:rPr>
          <w:rFonts w:eastAsiaTheme="minorEastAsia"/>
        </w:rPr>
        <w:t>.</w:t>
      </w:r>
      <w:r w:rsidR="008B0A57">
        <w:rPr>
          <w:rFonts w:eastAsiaTheme="minorEastAsia"/>
        </w:rPr>
        <w:t xml:space="preserve"> </w:t>
      </w:r>
    </w:p>
    <w:p w:rsidR="008B0A57" w:rsidRDefault="00235481" w:rsidP="00235481">
      <w:pPr>
        <w:tabs>
          <w:tab w:val="clear" w:pos="3420"/>
        </w:tabs>
        <w:autoSpaceDE/>
        <w:autoSpaceDN/>
        <w:spacing w:line="240" w:lineRule="auto"/>
        <w:ind w:left="708"/>
        <w:rPr>
          <w:rFonts w:eastAsiaTheme="minorEastAsia"/>
        </w:rPr>
      </w:pPr>
      <w:r>
        <w:rPr>
          <w:rFonts w:eastAsiaTheme="minorEastAsia"/>
        </w:rPr>
        <w:t xml:space="preserve">3. </w:t>
      </w:r>
      <w:r w:rsidR="00EC2F1E">
        <w:rPr>
          <w:rFonts w:eastAsiaTheme="minorEastAsia"/>
        </w:rPr>
        <w:t xml:space="preserve">La jurisdicción social </w:t>
      </w:r>
      <w:r w:rsidR="00870DA4">
        <w:rPr>
          <w:rFonts w:eastAsiaTheme="minorEastAsia"/>
        </w:rPr>
        <w:t xml:space="preserve">(mayoritariamente) </w:t>
      </w:r>
      <w:r w:rsidR="00EC2F1E">
        <w:rPr>
          <w:rFonts w:eastAsiaTheme="minorEastAsia"/>
        </w:rPr>
        <w:t>ha</w:t>
      </w:r>
      <w:r w:rsidR="001C6242">
        <w:rPr>
          <w:rFonts w:eastAsiaTheme="minorEastAsia"/>
        </w:rPr>
        <w:t xml:space="preserve"> </w:t>
      </w:r>
      <w:r w:rsidR="00BB5E7C">
        <w:rPr>
          <w:rFonts w:eastAsiaTheme="minorEastAsia"/>
        </w:rPr>
        <w:t xml:space="preserve">estimado que </w:t>
      </w:r>
      <w:r w:rsidR="001C6242">
        <w:rPr>
          <w:rFonts w:eastAsiaTheme="minorEastAsia"/>
        </w:rPr>
        <w:t xml:space="preserve">no existe una </w:t>
      </w:r>
      <w:r w:rsidR="008B0A57">
        <w:rPr>
          <w:rFonts w:eastAsiaTheme="minorEastAsia"/>
        </w:rPr>
        <w:t>unidad de contrato</w:t>
      </w:r>
      <w:r w:rsidR="001C6242">
        <w:rPr>
          <w:rFonts w:eastAsiaTheme="minorEastAsia"/>
        </w:rPr>
        <w:t xml:space="preserve"> </w:t>
      </w:r>
      <w:r w:rsidR="009468DD">
        <w:rPr>
          <w:rFonts w:eastAsiaTheme="minorEastAsia"/>
        </w:rPr>
        <w:t>e</w:t>
      </w:r>
      <w:r w:rsidR="001C6242">
        <w:rPr>
          <w:rFonts w:eastAsiaTheme="minorEastAsia"/>
        </w:rPr>
        <w:t>ntre el “alterne” y</w:t>
      </w:r>
      <w:r>
        <w:rPr>
          <w:rFonts w:eastAsiaTheme="minorEastAsia"/>
        </w:rPr>
        <w:t xml:space="preserve"> la “prostitución”. Circunstancia que evita que</w:t>
      </w:r>
      <w:r w:rsidR="001C6242">
        <w:rPr>
          <w:rFonts w:eastAsiaTheme="minorEastAsia"/>
        </w:rPr>
        <w:t xml:space="preserve"> “ésta” </w:t>
      </w:r>
      <w:r w:rsidR="00EC2F1E">
        <w:rPr>
          <w:rFonts w:eastAsiaTheme="minorEastAsia"/>
        </w:rPr>
        <w:t xml:space="preserve">arrastre a </w:t>
      </w:r>
      <w:r w:rsidR="0051759B">
        <w:rPr>
          <w:rFonts w:eastAsiaTheme="minorEastAsia"/>
        </w:rPr>
        <w:t>“</w:t>
      </w:r>
      <w:r w:rsidR="00EC2F1E">
        <w:rPr>
          <w:rFonts w:eastAsiaTheme="minorEastAsia"/>
        </w:rPr>
        <w:t>aquélla</w:t>
      </w:r>
      <w:r w:rsidR="0051759B">
        <w:rPr>
          <w:rFonts w:eastAsiaTheme="minorEastAsia"/>
        </w:rPr>
        <w:t>”</w:t>
      </w:r>
      <w:r w:rsidR="00EC2F1E">
        <w:rPr>
          <w:rFonts w:eastAsiaTheme="minorEastAsia"/>
        </w:rPr>
        <w:t xml:space="preserve"> hacía la ilegalidad (</w:t>
      </w:r>
      <w:r w:rsidR="00870DA4">
        <w:rPr>
          <w:rFonts w:eastAsiaTheme="minorEastAsia"/>
        </w:rPr>
        <w:t xml:space="preserve">pues, de otro modo se tendría que declarar </w:t>
      </w:r>
      <w:r w:rsidR="0051759B">
        <w:rPr>
          <w:rFonts w:eastAsiaTheme="minorEastAsia"/>
        </w:rPr>
        <w:t>la</w:t>
      </w:r>
      <w:r w:rsidR="00870DA4">
        <w:rPr>
          <w:rFonts w:eastAsiaTheme="minorEastAsia"/>
        </w:rPr>
        <w:t xml:space="preserve"> invalidez del contrato por </w:t>
      </w:r>
      <w:r w:rsidR="0051759B">
        <w:rPr>
          <w:rFonts w:eastAsiaTheme="minorEastAsia"/>
        </w:rPr>
        <w:t xml:space="preserve">ilicitud </w:t>
      </w:r>
      <w:r w:rsidR="00EC2F1E">
        <w:rPr>
          <w:rFonts w:eastAsiaTheme="minorEastAsia"/>
        </w:rPr>
        <w:t>de</w:t>
      </w:r>
      <w:r w:rsidR="0051759B">
        <w:rPr>
          <w:rFonts w:eastAsiaTheme="minorEastAsia"/>
        </w:rPr>
        <w:t xml:space="preserve"> </w:t>
      </w:r>
      <w:r w:rsidR="00870DA4">
        <w:rPr>
          <w:rFonts w:eastAsiaTheme="minorEastAsia"/>
        </w:rPr>
        <w:t xml:space="preserve">una </w:t>
      </w:r>
      <w:r w:rsidR="0051759B">
        <w:rPr>
          <w:rFonts w:eastAsiaTheme="minorEastAsia"/>
        </w:rPr>
        <w:t xml:space="preserve">parte </w:t>
      </w:r>
      <w:r w:rsidR="00870DA4">
        <w:rPr>
          <w:rFonts w:eastAsiaTheme="minorEastAsia"/>
        </w:rPr>
        <w:t xml:space="preserve">sustancial </w:t>
      </w:r>
      <w:r w:rsidR="0051759B">
        <w:rPr>
          <w:rFonts w:eastAsiaTheme="minorEastAsia"/>
        </w:rPr>
        <w:t>de</w:t>
      </w:r>
      <w:r w:rsidR="00EC2F1E">
        <w:rPr>
          <w:rFonts w:eastAsiaTheme="minorEastAsia"/>
        </w:rPr>
        <w:t>l objeto);</w:t>
      </w:r>
      <w:r w:rsidR="001C6242">
        <w:rPr>
          <w:rFonts w:eastAsiaTheme="minorEastAsia"/>
        </w:rPr>
        <w:t xml:space="preserve"> y</w:t>
      </w:r>
      <w:r w:rsidR="002916C5">
        <w:rPr>
          <w:rFonts w:eastAsiaTheme="minorEastAsia"/>
        </w:rPr>
        <w:t>, en consecuencia,</w:t>
      </w:r>
      <w:r w:rsidR="001C6242">
        <w:rPr>
          <w:rFonts w:eastAsiaTheme="minorEastAsia"/>
        </w:rPr>
        <w:t xml:space="preserve"> desampare de toda protección laboral a las mujeres</w:t>
      </w:r>
      <w:r>
        <w:rPr>
          <w:rFonts w:eastAsiaTheme="minorEastAsia"/>
        </w:rPr>
        <w:t>.</w:t>
      </w:r>
    </w:p>
    <w:p w:rsidR="008B0A57" w:rsidRDefault="008B0A57" w:rsidP="00235481">
      <w:pPr>
        <w:tabs>
          <w:tab w:val="clear" w:pos="3420"/>
        </w:tabs>
        <w:autoSpaceDE/>
        <w:autoSpaceDN/>
        <w:spacing w:line="240" w:lineRule="auto"/>
        <w:ind w:left="708"/>
        <w:rPr>
          <w:rFonts w:eastAsiaTheme="minorEastAsia"/>
        </w:rPr>
      </w:pPr>
    </w:p>
    <w:p w:rsidR="0052058C" w:rsidRPr="00EC2F1E" w:rsidRDefault="009468DD" w:rsidP="00BB5E7C">
      <w:pPr>
        <w:tabs>
          <w:tab w:val="clear" w:pos="3420"/>
        </w:tabs>
        <w:autoSpaceDE/>
        <w:autoSpaceDN/>
        <w:spacing w:line="240" w:lineRule="auto"/>
        <w:rPr>
          <w:rFonts w:eastAsiaTheme="minorEastAsia"/>
        </w:rPr>
      </w:pPr>
      <w:r>
        <w:rPr>
          <w:rFonts w:eastAsiaTheme="minorEastAsia"/>
        </w:rPr>
        <w:lastRenderedPageBreak/>
        <w:t xml:space="preserve">No obstante, a pesar de las buenas intenciones de los Tribunales laborales, </w:t>
      </w:r>
      <w:r w:rsidR="001C6242">
        <w:rPr>
          <w:rFonts w:eastAsiaTheme="minorEastAsia"/>
        </w:rPr>
        <w:t>el universo</w:t>
      </w:r>
      <w:r>
        <w:rPr>
          <w:rFonts w:eastAsiaTheme="minorEastAsia"/>
        </w:rPr>
        <w:t xml:space="preserve"> que describen estos vectores arroja</w:t>
      </w:r>
      <w:r w:rsidR="001C6242">
        <w:rPr>
          <w:rFonts w:eastAsiaTheme="minorEastAsia"/>
        </w:rPr>
        <w:t xml:space="preserve"> </w:t>
      </w:r>
      <w:r w:rsidR="002916C5">
        <w:rPr>
          <w:rFonts w:eastAsiaTheme="minorEastAsia"/>
        </w:rPr>
        <w:t xml:space="preserve">(paradójicamente) </w:t>
      </w:r>
      <w:r w:rsidR="001C6242">
        <w:rPr>
          <w:rFonts w:eastAsiaTheme="minorEastAsia"/>
        </w:rPr>
        <w:t>efectos claramente contraproducentes</w:t>
      </w:r>
      <w:r w:rsidR="002916C5">
        <w:rPr>
          <w:rFonts w:eastAsiaTheme="minorEastAsia"/>
        </w:rPr>
        <w:t>, pues, es (muy) probable que</w:t>
      </w:r>
      <w:r w:rsidR="009463EC">
        <w:rPr>
          <w:rFonts w:eastAsiaTheme="minorEastAsia"/>
        </w:rPr>
        <w:t>,</w:t>
      </w:r>
      <w:r w:rsidR="002916C5">
        <w:rPr>
          <w:rFonts w:eastAsiaTheme="minorEastAsia"/>
        </w:rPr>
        <w:t xml:space="preserve"> en la realidad</w:t>
      </w:r>
      <w:r w:rsidR="009463EC">
        <w:rPr>
          <w:rFonts w:eastAsiaTheme="minorEastAsia"/>
        </w:rPr>
        <w:t>,</w:t>
      </w:r>
      <w:r w:rsidR="002916C5">
        <w:rPr>
          <w:rFonts w:eastAsiaTheme="minorEastAsia"/>
        </w:rPr>
        <w:t xml:space="preserve"> se den situaciones de “prostitución” por cuenta ajena (y, por tanto, ilícitas) encubiertas en una actividad de alterne</w:t>
      </w:r>
      <w:r w:rsidR="0051759B">
        <w:rPr>
          <w:rFonts w:eastAsiaTheme="minorEastAsia"/>
        </w:rPr>
        <w:t xml:space="preserve"> por cuenta ajena</w:t>
      </w:r>
      <w:r>
        <w:rPr>
          <w:rFonts w:eastAsiaTheme="minorEastAsia"/>
        </w:rPr>
        <w:t>.</w:t>
      </w:r>
      <w:r w:rsidR="002916C5">
        <w:rPr>
          <w:rFonts w:eastAsiaTheme="minorEastAsia"/>
        </w:rPr>
        <w:t xml:space="preserve"> En paralelo, es probable que para dar realismo a esta ficción jurídica se tienda a presentar a la prostitución como una actividad libremente escogida y ejercida por cuenta propia (cuando en realidad es probable que en muchas ocasiones nos encontremos ante situaciones </w:t>
      </w:r>
      <w:r w:rsidR="009463EC">
        <w:rPr>
          <w:rFonts w:eastAsiaTheme="minorEastAsia"/>
        </w:rPr>
        <w:t xml:space="preserve">no consentidas y, por ende, </w:t>
      </w:r>
      <w:r w:rsidR="002916C5">
        <w:rPr>
          <w:rFonts w:eastAsiaTheme="minorEastAsia"/>
        </w:rPr>
        <w:t>de verdadera explotación humana).</w:t>
      </w:r>
      <w:r>
        <w:rPr>
          <w:rFonts w:eastAsiaTheme="minorEastAsia"/>
        </w:rPr>
        <w:t xml:space="preserve"> </w:t>
      </w:r>
      <w:r w:rsidR="009463EC">
        <w:rPr>
          <w:rFonts w:eastAsiaTheme="minorEastAsia"/>
        </w:rPr>
        <w:t xml:space="preserve">O, dicho de otro modo, </w:t>
      </w:r>
      <w:r w:rsidR="009463EC" w:rsidRPr="00EC2F1E">
        <w:rPr>
          <w:rFonts w:eastAsiaTheme="minorEastAsia"/>
        </w:rPr>
        <w:t>tras la “cortina” del alterne</w:t>
      </w:r>
      <w:r w:rsidR="0051759B">
        <w:rPr>
          <w:rFonts w:eastAsiaTheme="minorEastAsia"/>
        </w:rPr>
        <w:t xml:space="preserve"> por cuenta ajena</w:t>
      </w:r>
      <w:r w:rsidR="009463EC" w:rsidRPr="00EC2F1E">
        <w:rPr>
          <w:rFonts w:eastAsiaTheme="minorEastAsia"/>
        </w:rPr>
        <w:t>, social y judicialmente admitida</w:t>
      </w:r>
      <w:r w:rsidR="0051759B">
        <w:rPr>
          <w:rFonts w:eastAsiaTheme="minorEastAsia"/>
        </w:rPr>
        <w:t xml:space="preserve"> y consentida</w:t>
      </w:r>
      <w:r w:rsidR="009463EC" w:rsidRPr="00EC2F1E">
        <w:rPr>
          <w:rFonts w:eastAsiaTheme="minorEastAsia"/>
        </w:rPr>
        <w:t xml:space="preserve">, se producen situaciones de vejación difícilmente tolerables. </w:t>
      </w:r>
    </w:p>
    <w:p w:rsidR="00EC2F1E" w:rsidRPr="00EC2F1E" w:rsidRDefault="00EC2F1E" w:rsidP="00BB5E7C">
      <w:pPr>
        <w:tabs>
          <w:tab w:val="clear" w:pos="3420"/>
        </w:tabs>
        <w:autoSpaceDE/>
        <w:autoSpaceDN/>
        <w:spacing w:line="240" w:lineRule="auto"/>
        <w:rPr>
          <w:rFonts w:eastAsiaTheme="minorEastAsia"/>
        </w:rPr>
      </w:pPr>
    </w:p>
    <w:p w:rsidR="00EC2F1E" w:rsidRPr="00EC2F1E" w:rsidRDefault="00EC2F1E" w:rsidP="00BB5E7C">
      <w:pPr>
        <w:tabs>
          <w:tab w:val="clear" w:pos="3420"/>
        </w:tabs>
        <w:autoSpaceDE/>
        <w:autoSpaceDN/>
        <w:spacing w:line="240" w:lineRule="auto"/>
        <w:rPr>
          <w:rFonts w:eastAsiaTheme="minorEastAsia"/>
        </w:rPr>
      </w:pPr>
      <w:r w:rsidRPr="00EC2F1E">
        <w:rPr>
          <w:rFonts w:eastAsiaTheme="minorEastAsia"/>
        </w:rPr>
        <w:t>De hecho, para evitar este efecto indeseable</w:t>
      </w:r>
      <w:r w:rsidR="003A4358">
        <w:rPr>
          <w:rFonts w:eastAsiaTheme="minorEastAsia"/>
        </w:rPr>
        <w:t xml:space="preserve"> (derivado principalmente de la ausencia de regulación legal de la prostitución y de la “</w:t>
      </w:r>
      <w:proofErr w:type="spellStart"/>
      <w:r w:rsidR="003A4358">
        <w:rPr>
          <w:rFonts w:eastAsiaTheme="minorEastAsia"/>
        </w:rPr>
        <w:t>laboralización</w:t>
      </w:r>
      <w:proofErr w:type="spellEnd"/>
      <w:r w:rsidR="003A4358">
        <w:rPr>
          <w:rFonts w:eastAsiaTheme="minorEastAsia"/>
        </w:rPr>
        <w:t>” del alterne)</w:t>
      </w:r>
      <w:r w:rsidRPr="00EC2F1E">
        <w:rPr>
          <w:rFonts w:eastAsiaTheme="minorEastAsia"/>
        </w:rPr>
        <w:t>, siguiendo el planteamiento del Voto Particular de la STSJ Andaluc</w:t>
      </w:r>
      <w:r w:rsidR="00E121B4">
        <w:rPr>
          <w:rFonts w:eastAsiaTheme="minorEastAsia"/>
        </w:rPr>
        <w:t>ía\Sevilla 4 de diciembre 2003</w:t>
      </w:r>
      <w:r w:rsidR="00E121B4">
        <w:rPr>
          <w:rStyle w:val="Refernciadenotaapeudepgina"/>
          <w:rFonts w:eastAsiaTheme="minorEastAsia"/>
        </w:rPr>
        <w:footnoteReference w:id="22"/>
      </w:r>
      <w:r w:rsidRPr="00EC2F1E">
        <w:rPr>
          <w:rFonts w:eastAsiaTheme="minorEastAsia"/>
        </w:rPr>
        <w:t xml:space="preserve">, la dogmática jurídica dispondría de elementos para declarar la ilicitud del contrato sin desproteger a las trabajadoras: </w:t>
      </w:r>
      <w:r w:rsidRPr="00EC2F1E">
        <w:t>“</w:t>
      </w:r>
      <w:r w:rsidRPr="00EC2F1E">
        <w:rPr>
          <w:color w:val="000000"/>
        </w:rPr>
        <w:t>existe un objeto ilícito, lo que determinaría la ineficacia o nulidad del contrato. Tal ilicitud deriva del grave riesgo de vulneración de los derechos fundamentales de las trabajadoras afectadas, en concreto, de sus derechos a la libertad sexual y a la dignidad personal, riesgo que puede hacerse efectivo si al recurrente, dueño del local se le reconocen las facultades y derechos derivados de la condición de empleador y, con ello, los poderes directivos y organizativos, pues supondría la posibilidad de exigir a las interesadas el cumplimiento de las tareas contratadas, aun en contra de su libertad de actuación, además de favorecer, promover e inducir con ello al ejercicio de la prostitución, se trata de que calquemos con cánones éticos la actividad, así no decimos que sea inmoral o contraria a las buenas costumbres, sino de ilicitud, por contraria a la ley, de la actividad empresarial que facilita el ejercicio de la prostitución con evidente peligro de que ésta sea forzada y no libre”.</w:t>
      </w:r>
    </w:p>
    <w:p w:rsidR="002C5553" w:rsidRPr="00EC2F1E" w:rsidRDefault="002C5553" w:rsidP="00E370D4">
      <w:pPr>
        <w:tabs>
          <w:tab w:val="clear" w:pos="3420"/>
        </w:tabs>
        <w:autoSpaceDE/>
        <w:autoSpaceDN/>
        <w:spacing w:line="240" w:lineRule="auto"/>
        <w:rPr>
          <w:rFonts w:eastAsiaTheme="minorEastAsia"/>
        </w:rPr>
      </w:pPr>
    </w:p>
    <w:p w:rsidR="001479C5" w:rsidRPr="000A692A" w:rsidRDefault="003A4358" w:rsidP="00E370D4">
      <w:pPr>
        <w:tabs>
          <w:tab w:val="clear" w:pos="3420"/>
        </w:tabs>
        <w:autoSpaceDE/>
        <w:autoSpaceDN/>
        <w:spacing w:line="240" w:lineRule="auto"/>
        <w:rPr>
          <w:rFonts w:eastAsiaTheme="minorEastAsia"/>
        </w:rPr>
      </w:pPr>
      <w:r>
        <w:rPr>
          <w:rFonts w:eastAsiaTheme="minorEastAsia"/>
        </w:rPr>
        <w:t>En todo caso, y en otro orden de consideraciones, repárese que</w:t>
      </w:r>
      <w:r w:rsidR="00EC2F1E" w:rsidRPr="00EC2F1E">
        <w:rPr>
          <w:rFonts w:eastAsiaTheme="minorEastAsia"/>
        </w:rPr>
        <w:t xml:space="preserve"> la línea interpretativa</w:t>
      </w:r>
      <w:r w:rsidR="00EC2F1E">
        <w:rPr>
          <w:rFonts w:eastAsiaTheme="minorEastAsia"/>
        </w:rPr>
        <w:t xml:space="preserve"> dominante </w:t>
      </w:r>
      <w:r w:rsidR="00682CB3">
        <w:rPr>
          <w:rFonts w:eastAsiaTheme="minorEastAsia"/>
        </w:rPr>
        <w:t>nos descubre una dimensión, si se nos permite</w:t>
      </w:r>
      <w:r w:rsidR="00FB6967">
        <w:rPr>
          <w:rFonts w:eastAsiaTheme="minorEastAsia"/>
        </w:rPr>
        <w:t>,</w:t>
      </w:r>
      <w:r w:rsidR="00682CB3">
        <w:rPr>
          <w:rFonts w:eastAsiaTheme="minorEastAsia"/>
        </w:rPr>
        <w:t xml:space="preserve"> trágica, pues, </w:t>
      </w:r>
      <w:r w:rsidR="001479C5" w:rsidRPr="000A692A">
        <w:rPr>
          <w:rFonts w:eastAsiaTheme="minorEastAsia"/>
        </w:rPr>
        <w:t xml:space="preserve">la ausencia de un régimen normativo </w:t>
      </w:r>
      <w:r w:rsidR="0051759B">
        <w:rPr>
          <w:rFonts w:eastAsiaTheme="minorEastAsia"/>
        </w:rPr>
        <w:t xml:space="preserve">que regule la </w:t>
      </w:r>
      <w:r w:rsidR="00682CB3">
        <w:rPr>
          <w:rFonts w:eastAsiaTheme="minorEastAsia"/>
        </w:rPr>
        <w:t>prostitución</w:t>
      </w:r>
      <w:r>
        <w:rPr>
          <w:rFonts w:eastAsiaTheme="minorEastAsia"/>
        </w:rPr>
        <w:t xml:space="preserve"> “por cuenta ajena”</w:t>
      </w:r>
      <w:r w:rsidR="00682CB3">
        <w:rPr>
          <w:rFonts w:eastAsiaTheme="minorEastAsia"/>
        </w:rPr>
        <w:t xml:space="preserve"> </w:t>
      </w:r>
      <w:r w:rsidR="00BF491E">
        <w:rPr>
          <w:rFonts w:eastAsiaTheme="minorEastAsia"/>
        </w:rPr>
        <w:t xml:space="preserve">ha descrito </w:t>
      </w:r>
      <w:r w:rsidR="001479C5" w:rsidRPr="000A692A">
        <w:rPr>
          <w:rFonts w:eastAsiaTheme="minorEastAsia"/>
        </w:rPr>
        <w:t xml:space="preserve">un modelo en el que es el </w:t>
      </w:r>
      <w:r w:rsidR="00682CB3">
        <w:rPr>
          <w:rFonts w:eastAsiaTheme="minorEastAsia"/>
        </w:rPr>
        <w:t>“</w:t>
      </w:r>
      <w:r w:rsidR="001479C5" w:rsidRPr="000A692A">
        <w:rPr>
          <w:rFonts w:eastAsiaTheme="minorEastAsia"/>
        </w:rPr>
        <w:t>mercado</w:t>
      </w:r>
      <w:r w:rsidR="00682CB3">
        <w:rPr>
          <w:rFonts w:eastAsiaTheme="minorEastAsia"/>
        </w:rPr>
        <w:t>”</w:t>
      </w:r>
      <w:r w:rsidR="001479C5" w:rsidRPr="000A692A">
        <w:rPr>
          <w:rFonts w:eastAsiaTheme="minorEastAsia"/>
        </w:rPr>
        <w:t xml:space="preserve"> (</w:t>
      </w:r>
      <w:r w:rsidR="00682CB3">
        <w:rPr>
          <w:rFonts w:eastAsiaTheme="minorEastAsia"/>
        </w:rPr>
        <w:t>en su conceptuación literal</w:t>
      </w:r>
      <w:r w:rsidR="001479C5" w:rsidRPr="000A692A">
        <w:rPr>
          <w:rFonts w:eastAsiaTheme="minorEastAsia"/>
        </w:rPr>
        <w:t xml:space="preserve">) el que determina </w:t>
      </w:r>
      <w:r>
        <w:rPr>
          <w:rFonts w:eastAsiaTheme="minorEastAsia"/>
        </w:rPr>
        <w:t xml:space="preserve">“libremente” </w:t>
      </w:r>
      <w:r w:rsidR="001479C5" w:rsidRPr="000A692A">
        <w:rPr>
          <w:rFonts w:eastAsiaTheme="minorEastAsia"/>
        </w:rPr>
        <w:t xml:space="preserve">la oferta y la demanda de este </w:t>
      </w:r>
      <w:r w:rsidR="00BF491E">
        <w:rPr>
          <w:rFonts w:eastAsiaTheme="minorEastAsia"/>
        </w:rPr>
        <w:t>“</w:t>
      </w:r>
      <w:r w:rsidR="001479C5" w:rsidRPr="000A692A">
        <w:rPr>
          <w:rFonts w:eastAsiaTheme="minorEastAsia"/>
        </w:rPr>
        <w:t>servicio</w:t>
      </w:r>
      <w:r w:rsidR="00BF491E">
        <w:rPr>
          <w:rFonts w:eastAsiaTheme="minorEastAsia"/>
        </w:rPr>
        <w:t>”</w:t>
      </w:r>
      <w:r>
        <w:rPr>
          <w:rFonts w:eastAsiaTheme="minorEastAsia"/>
        </w:rPr>
        <w:t>. Lo que puede traducirse en la existencia de situaciones de severa explotación humana (difícilmente asumibles en un Estado de Derecho).</w:t>
      </w:r>
    </w:p>
    <w:p w:rsidR="00FB6967" w:rsidRDefault="00FB6967" w:rsidP="00FB6967">
      <w:pPr>
        <w:tabs>
          <w:tab w:val="clear" w:pos="3420"/>
        </w:tabs>
        <w:autoSpaceDE/>
        <w:autoSpaceDN/>
        <w:spacing w:line="240" w:lineRule="auto"/>
        <w:rPr>
          <w:rFonts w:eastAsiaTheme="minorEastAsia"/>
        </w:rPr>
      </w:pPr>
    </w:p>
    <w:p w:rsidR="00DD53FF" w:rsidRDefault="00FB6967" w:rsidP="00FB6967">
      <w:pPr>
        <w:tabs>
          <w:tab w:val="clear" w:pos="3420"/>
        </w:tabs>
        <w:autoSpaceDE/>
        <w:autoSpaceDN/>
        <w:spacing w:line="240" w:lineRule="auto"/>
        <w:rPr>
          <w:rFonts w:eastAsiaTheme="minorEastAsia"/>
        </w:rPr>
      </w:pPr>
      <w:r>
        <w:rPr>
          <w:rFonts w:eastAsiaTheme="minorEastAsia"/>
        </w:rPr>
        <w:t xml:space="preserve">De modo que, </w:t>
      </w:r>
      <w:r w:rsidR="001479C5" w:rsidRPr="000A692A">
        <w:rPr>
          <w:rFonts w:eastAsiaTheme="minorEastAsia"/>
        </w:rPr>
        <w:t xml:space="preserve">a pesar del </w:t>
      </w:r>
      <w:r>
        <w:rPr>
          <w:rFonts w:eastAsiaTheme="minorEastAsia"/>
        </w:rPr>
        <w:t>“</w:t>
      </w:r>
      <w:r w:rsidR="001479C5" w:rsidRPr="000A692A">
        <w:rPr>
          <w:rFonts w:eastAsiaTheme="minorEastAsia"/>
        </w:rPr>
        <w:t>reproche</w:t>
      </w:r>
      <w:r>
        <w:rPr>
          <w:rFonts w:eastAsiaTheme="minorEastAsia"/>
        </w:rPr>
        <w:t>”</w:t>
      </w:r>
      <w:r w:rsidR="001479C5" w:rsidRPr="000A692A">
        <w:rPr>
          <w:rFonts w:eastAsiaTheme="minorEastAsia"/>
        </w:rPr>
        <w:t xml:space="preserve"> que en un primer nivel de análisis pudiera suscitar</w:t>
      </w:r>
      <w:r w:rsidR="0052058C">
        <w:rPr>
          <w:rFonts w:eastAsiaTheme="minorEastAsia"/>
        </w:rPr>
        <w:t xml:space="preserve"> en el Derecho del Trabajo</w:t>
      </w:r>
      <w:r w:rsidR="001479C5" w:rsidRPr="000A692A">
        <w:rPr>
          <w:rFonts w:eastAsiaTheme="minorEastAsia"/>
        </w:rPr>
        <w:t xml:space="preserve"> el enfoque positivista del </w:t>
      </w:r>
      <w:proofErr w:type="spellStart"/>
      <w:r w:rsidR="001479C5" w:rsidRPr="000A692A">
        <w:rPr>
          <w:rFonts w:eastAsiaTheme="minorEastAsia"/>
          <w:i/>
        </w:rPr>
        <w:t>Law</w:t>
      </w:r>
      <w:proofErr w:type="spellEnd"/>
      <w:r w:rsidR="001479C5" w:rsidRPr="000A692A">
        <w:rPr>
          <w:rFonts w:eastAsiaTheme="minorEastAsia"/>
          <w:i/>
        </w:rPr>
        <w:t xml:space="preserve"> &amp; </w:t>
      </w:r>
      <w:proofErr w:type="spellStart"/>
      <w:r w:rsidR="001479C5" w:rsidRPr="000A692A">
        <w:rPr>
          <w:rFonts w:eastAsiaTheme="minorEastAsia"/>
          <w:i/>
        </w:rPr>
        <w:t>Economics</w:t>
      </w:r>
      <w:proofErr w:type="spellEnd"/>
      <w:r>
        <w:rPr>
          <w:rFonts w:eastAsiaTheme="minorEastAsia"/>
        </w:rPr>
        <w:t xml:space="preserve"> (negando la existencia de la moral o la ética o identificándolas con la eficiencia)</w:t>
      </w:r>
      <w:r w:rsidR="00DD53FF">
        <w:rPr>
          <w:rFonts w:eastAsiaTheme="minorEastAsia"/>
        </w:rPr>
        <w:t>,</w:t>
      </w:r>
      <w:r w:rsidR="001479C5" w:rsidRPr="000A692A">
        <w:rPr>
          <w:rFonts w:eastAsiaTheme="minorEastAsia"/>
        </w:rPr>
        <w:t xml:space="preserve"> repárese que </w:t>
      </w:r>
      <w:r w:rsidR="00EC2F1E" w:rsidRPr="00EC2F1E">
        <w:rPr>
          <w:rFonts w:eastAsiaTheme="minorEastAsia"/>
          <w:i/>
        </w:rPr>
        <w:t>de facto</w:t>
      </w:r>
      <w:r w:rsidR="003A4358">
        <w:rPr>
          <w:rFonts w:eastAsiaTheme="minorEastAsia"/>
        </w:rPr>
        <w:t>, a consecuencia de la inhibición normativa</w:t>
      </w:r>
      <w:r w:rsidR="00B7128F">
        <w:rPr>
          <w:rFonts w:eastAsiaTheme="minorEastAsia"/>
        </w:rPr>
        <w:t>,</w:t>
      </w:r>
      <w:r w:rsidR="003A4358">
        <w:rPr>
          <w:rFonts w:eastAsiaTheme="minorEastAsia"/>
        </w:rPr>
        <w:t xml:space="preserve"> </w:t>
      </w:r>
      <w:r w:rsidR="00EC2F1E">
        <w:rPr>
          <w:rFonts w:eastAsiaTheme="minorEastAsia"/>
        </w:rPr>
        <w:t>se está asumiendo un planteamiento que se alinea totalmente con sus postulados. En efecto, el</w:t>
      </w:r>
      <w:r w:rsidR="001479C5" w:rsidRPr="000A692A">
        <w:rPr>
          <w:rFonts w:eastAsiaTheme="minorEastAsia"/>
        </w:rPr>
        <w:t xml:space="preserve"> sistema jurídico ha propiciado una esfera </w:t>
      </w:r>
      <w:r w:rsidR="00060616" w:rsidRPr="000A692A">
        <w:rPr>
          <w:rFonts w:eastAsiaTheme="minorEastAsia"/>
        </w:rPr>
        <w:t xml:space="preserve">en la que, </w:t>
      </w:r>
      <w:r w:rsidR="001479C5" w:rsidRPr="000A692A">
        <w:rPr>
          <w:rFonts w:eastAsiaTheme="minorEastAsia"/>
        </w:rPr>
        <w:t xml:space="preserve">con independencia de la repugnancia </w:t>
      </w:r>
      <w:r w:rsidR="00060616" w:rsidRPr="000A692A">
        <w:rPr>
          <w:rFonts w:eastAsiaTheme="minorEastAsia"/>
        </w:rPr>
        <w:t>(real</w:t>
      </w:r>
      <w:r w:rsidR="00F21465">
        <w:rPr>
          <w:rFonts w:eastAsiaTheme="minorEastAsia"/>
        </w:rPr>
        <w:t xml:space="preserve"> </w:t>
      </w:r>
      <w:r w:rsidR="00060616" w:rsidRPr="000A692A">
        <w:rPr>
          <w:rFonts w:eastAsiaTheme="minorEastAsia"/>
        </w:rPr>
        <w:t xml:space="preserve">o no) </w:t>
      </w:r>
      <w:r w:rsidR="001479C5" w:rsidRPr="000A692A">
        <w:rPr>
          <w:rFonts w:eastAsiaTheme="minorEastAsia"/>
        </w:rPr>
        <w:t xml:space="preserve">que suscite </w:t>
      </w:r>
      <w:r w:rsidR="00060616" w:rsidRPr="000A692A">
        <w:rPr>
          <w:rFonts w:eastAsiaTheme="minorEastAsia"/>
        </w:rPr>
        <w:t xml:space="preserve">la prostitución </w:t>
      </w:r>
      <w:r w:rsidR="001479C5" w:rsidRPr="000A692A">
        <w:rPr>
          <w:rFonts w:eastAsiaTheme="minorEastAsia"/>
        </w:rPr>
        <w:t>en la sociedad, los principios de dignidad e indisponibilidad descritos están absolutamente desprovistos de eficacia</w:t>
      </w:r>
      <w:r w:rsidR="003A4358">
        <w:rPr>
          <w:rFonts w:eastAsiaTheme="minorEastAsia"/>
        </w:rPr>
        <w:t xml:space="preserve"> (o notablemente devaluados)</w:t>
      </w:r>
      <w:r w:rsidR="001479C5" w:rsidRPr="000A692A">
        <w:rPr>
          <w:rFonts w:eastAsiaTheme="minorEastAsia"/>
        </w:rPr>
        <w:t>.</w:t>
      </w:r>
      <w:r w:rsidR="00060616" w:rsidRPr="000A692A">
        <w:rPr>
          <w:rFonts w:eastAsiaTheme="minorEastAsia"/>
        </w:rPr>
        <w:t xml:space="preserve"> </w:t>
      </w:r>
    </w:p>
    <w:p w:rsidR="00DD53FF" w:rsidRDefault="00DD53FF" w:rsidP="00FB6967">
      <w:pPr>
        <w:tabs>
          <w:tab w:val="clear" w:pos="3420"/>
        </w:tabs>
        <w:autoSpaceDE/>
        <w:autoSpaceDN/>
        <w:spacing w:line="240" w:lineRule="auto"/>
        <w:rPr>
          <w:rFonts w:eastAsiaTheme="minorEastAsia"/>
        </w:rPr>
      </w:pPr>
    </w:p>
    <w:p w:rsidR="0052058C" w:rsidRDefault="00DD53FF" w:rsidP="00FB6967">
      <w:pPr>
        <w:tabs>
          <w:tab w:val="clear" w:pos="3420"/>
        </w:tabs>
        <w:autoSpaceDE/>
        <w:autoSpaceDN/>
        <w:spacing w:line="240" w:lineRule="auto"/>
        <w:rPr>
          <w:rFonts w:eastAsiaTheme="minorEastAsia"/>
        </w:rPr>
      </w:pPr>
      <w:r>
        <w:rPr>
          <w:rFonts w:eastAsiaTheme="minorEastAsia"/>
        </w:rPr>
        <w:t xml:space="preserve">En paralelo, </w:t>
      </w:r>
      <w:r w:rsidRPr="000A692A">
        <w:rPr>
          <w:rFonts w:eastAsiaTheme="minorEastAsia"/>
        </w:rPr>
        <w:t xml:space="preserve">aparentemente </w:t>
      </w:r>
      <w:r>
        <w:rPr>
          <w:rFonts w:eastAsiaTheme="minorEastAsia"/>
        </w:rPr>
        <w:t xml:space="preserve">este marco también pone de manifiesto que </w:t>
      </w:r>
      <w:r w:rsidR="00060616" w:rsidRPr="000A692A">
        <w:rPr>
          <w:rFonts w:eastAsiaTheme="minorEastAsia"/>
        </w:rPr>
        <w:t xml:space="preserve">la sociedad </w:t>
      </w:r>
      <w:r w:rsidR="007F0E3D" w:rsidRPr="000A692A">
        <w:rPr>
          <w:rFonts w:eastAsiaTheme="minorEastAsia"/>
        </w:rPr>
        <w:t xml:space="preserve">(por lo menos, de un modo implícito) </w:t>
      </w:r>
      <w:r w:rsidR="00060616" w:rsidRPr="000A692A">
        <w:rPr>
          <w:rFonts w:eastAsiaTheme="minorEastAsia"/>
        </w:rPr>
        <w:t>está de acuerdo que la única medida de protección</w:t>
      </w:r>
      <w:r w:rsidR="001479C5" w:rsidRPr="000A692A">
        <w:rPr>
          <w:rFonts w:eastAsiaTheme="minorEastAsia"/>
        </w:rPr>
        <w:t xml:space="preserve"> </w:t>
      </w:r>
      <w:r w:rsidR="00060616" w:rsidRPr="000A692A">
        <w:rPr>
          <w:rFonts w:eastAsiaTheme="minorEastAsia"/>
        </w:rPr>
        <w:t xml:space="preserve">que </w:t>
      </w:r>
      <w:r w:rsidR="007F0E3D" w:rsidRPr="000A692A">
        <w:rPr>
          <w:rFonts w:eastAsiaTheme="minorEastAsia"/>
        </w:rPr>
        <w:lastRenderedPageBreak/>
        <w:t>debemos (o estamos dispuestos</w:t>
      </w:r>
      <w:r w:rsidR="002269E4">
        <w:rPr>
          <w:rFonts w:eastAsiaTheme="minorEastAsia"/>
        </w:rPr>
        <w:t xml:space="preserve"> </w:t>
      </w:r>
      <w:r w:rsidR="007F0E3D" w:rsidRPr="000A692A">
        <w:rPr>
          <w:rFonts w:eastAsiaTheme="minorEastAsia"/>
        </w:rPr>
        <w:t>a</w:t>
      </w:r>
      <w:r w:rsidR="002269E4">
        <w:rPr>
          <w:rFonts w:eastAsiaTheme="minorEastAsia"/>
        </w:rPr>
        <w:t>)</w:t>
      </w:r>
      <w:r w:rsidR="007F0E3D" w:rsidRPr="000A692A">
        <w:rPr>
          <w:rFonts w:eastAsiaTheme="minorEastAsia"/>
        </w:rPr>
        <w:t xml:space="preserve"> </w:t>
      </w:r>
      <w:r w:rsidR="00060616" w:rsidRPr="000A692A">
        <w:rPr>
          <w:rFonts w:eastAsiaTheme="minorEastAsia"/>
        </w:rPr>
        <w:t xml:space="preserve">dispensar </w:t>
      </w:r>
      <w:r>
        <w:rPr>
          <w:rFonts w:eastAsiaTheme="minorEastAsia"/>
        </w:rPr>
        <w:t xml:space="preserve">en estas situaciones </w:t>
      </w:r>
      <w:r w:rsidR="00060616" w:rsidRPr="000A692A">
        <w:rPr>
          <w:rFonts w:eastAsiaTheme="minorEastAsia"/>
        </w:rPr>
        <w:t xml:space="preserve">es </w:t>
      </w:r>
      <w:r w:rsidR="00916D31">
        <w:rPr>
          <w:rFonts w:eastAsiaTheme="minorEastAsia"/>
        </w:rPr>
        <w:t xml:space="preserve">la </w:t>
      </w:r>
      <w:r w:rsidR="00060616" w:rsidRPr="000A692A">
        <w:rPr>
          <w:rFonts w:eastAsiaTheme="minorEastAsia"/>
        </w:rPr>
        <w:t xml:space="preserve">que, eventualmente, </w:t>
      </w:r>
      <w:r>
        <w:rPr>
          <w:rFonts w:eastAsiaTheme="minorEastAsia"/>
        </w:rPr>
        <w:t>ofrece</w:t>
      </w:r>
      <w:r w:rsidR="00060616" w:rsidRPr="000A692A">
        <w:rPr>
          <w:rFonts w:eastAsiaTheme="minorEastAsia"/>
        </w:rPr>
        <w:t xml:space="preserve"> la </w:t>
      </w:r>
      <w:r w:rsidR="002269E4">
        <w:rPr>
          <w:rFonts w:eastAsiaTheme="minorEastAsia"/>
        </w:rPr>
        <w:t>“</w:t>
      </w:r>
      <w:r w:rsidR="00060616" w:rsidRPr="000A692A">
        <w:rPr>
          <w:rFonts w:eastAsiaTheme="minorEastAsia"/>
        </w:rPr>
        <w:t>mano invisible</w:t>
      </w:r>
      <w:r w:rsidR="002269E4">
        <w:rPr>
          <w:rFonts w:eastAsiaTheme="minorEastAsia"/>
        </w:rPr>
        <w:t>”</w:t>
      </w:r>
      <w:r w:rsidR="00060616" w:rsidRPr="000A692A">
        <w:rPr>
          <w:rFonts w:eastAsiaTheme="minorEastAsia"/>
        </w:rPr>
        <w:t xml:space="preserve"> del mercado</w:t>
      </w:r>
      <w:r w:rsidR="00EC2F1E">
        <w:rPr>
          <w:rFonts w:eastAsiaTheme="minorEastAsia"/>
        </w:rPr>
        <w:t xml:space="preserve"> (de otro modo, estaría presionando al Legislador para su intervención normativa)</w:t>
      </w:r>
      <w:r w:rsidR="00060616" w:rsidRPr="000A692A">
        <w:rPr>
          <w:rFonts w:eastAsiaTheme="minorEastAsia"/>
        </w:rPr>
        <w:t>.</w:t>
      </w:r>
      <w:r w:rsidR="007F0E3D" w:rsidRPr="000A692A">
        <w:rPr>
          <w:rFonts w:eastAsiaTheme="minorEastAsia"/>
        </w:rPr>
        <w:t xml:space="preserve"> </w:t>
      </w:r>
    </w:p>
    <w:p w:rsidR="0052058C" w:rsidRDefault="0052058C" w:rsidP="00FB6967">
      <w:pPr>
        <w:tabs>
          <w:tab w:val="clear" w:pos="3420"/>
        </w:tabs>
        <w:autoSpaceDE/>
        <w:autoSpaceDN/>
        <w:spacing w:line="240" w:lineRule="auto"/>
        <w:rPr>
          <w:rFonts w:eastAsiaTheme="minorEastAsia"/>
        </w:rPr>
      </w:pPr>
    </w:p>
    <w:p w:rsidR="00E370D4" w:rsidRPr="000A692A" w:rsidRDefault="007F0E3D" w:rsidP="00FB6967">
      <w:pPr>
        <w:tabs>
          <w:tab w:val="clear" w:pos="3420"/>
        </w:tabs>
        <w:autoSpaceDE/>
        <w:autoSpaceDN/>
        <w:spacing w:line="240" w:lineRule="auto"/>
        <w:rPr>
          <w:rFonts w:eastAsiaTheme="minorEastAsia"/>
        </w:rPr>
      </w:pPr>
      <w:r w:rsidRPr="000A692A">
        <w:rPr>
          <w:rFonts w:eastAsiaTheme="minorEastAsia"/>
        </w:rPr>
        <w:t>Se produce de este modo un</w:t>
      </w:r>
      <w:r w:rsidR="00FB6967">
        <w:rPr>
          <w:rFonts w:eastAsiaTheme="minorEastAsia"/>
        </w:rPr>
        <w:t>a dicotomía difícil de digerir en términos conceptuales</w:t>
      </w:r>
      <w:r w:rsidR="00F14D82">
        <w:rPr>
          <w:rFonts w:eastAsiaTheme="minorEastAsia"/>
        </w:rPr>
        <w:t xml:space="preserve"> y de nuestro Estado de Derecho</w:t>
      </w:r>
      <w:r w:rsidRPr="000A692A">
        <w:rPr>
          <w:rFonts w:eastAsiaTheme="minorEastAsia"/>
        </w:rPr>
        <w:t>,</w:t>
      </w:r>
      <w:r w:rsidR="00F14D82">
        <w:rPr>
          <w:rFonts w:eastAsiaTheme="minorEastAsia"/>
        </w:rPr>
        <w:t xml:space="preserve"> pues,</w:t>
      </w:r>
      <w:r w:rsidRPr="000A692A">
        <w:rPr>
          <w:rFonts w:eastAsiaTheme="minorEastAsia"/>
        </w:rPr>
        <w:t xml:space="preserve"> o bien, asumimos que en este ámbito no hay margen para el juego de la ética o la moral, o bien, debemos aceptar que éstas se alinean </w:t>
      </w:r>
      <w:r w:rsidR="00916D31">
        <w:rPr>
          <w:rFonts w:eastAsiaTheme="minorEastAsia"/>
        </w:rPr>
        <w:t xml:space="preserve">totalmente </w:t>
      </w:r>
      <w:r w:rsidRPr="000A692A">
        <w:rPr>
          <w:rFonts w:eastAsiaTheme="minorEastAsia"/>
        </w:rPr>
        <w:t>con la eficiencia.</w:t>
      </w:r>
    </w:p>
    <w:p w:rsidR="000A692A" w:rsidRPr="000A692A" w:rsidRDefault="000A692A" w:rsidP="00E370D4">
      <w:pPr>
        <w:tabs>
          <w:tab w:val="clear" w:pos="3420"/>
        </w:tabs>
        <w:autoSpaceDE/>
        <w:autoSpaceDN/>
        <w:spacing w:line="240" w:lineRule="auto"/>
        <w:rPr>
          <w:rFonts w:eastAsiaTheme="minorEastAsia"/>
        </w:rPr>
      </w:pPr>
    </w:p>
    <w:p w:rsidR="008B4EDA" w:rsidRDefault="000A692A" w:rsidP="00E370D4">
      <w:pPr>
        <w:tabs>
          <w:tab w:val="clear" w:pos="3420"/>
        </w:tabs>
        <w:autoSpaceDE/>
        <w:autoSpaceDN/>
        <w:spacing w:line="240" w:lineRule="auto"/>
        <w:rPr>
          <w:rFonts w:eastAsiaTheme="minorEastAsia"/>
        </w:rPr>
      </w:pPr>
      <w:r w:rsidRPr="000A692A">
        <w:rPr>
          <w:rFonts w:eastAsiaTheme="minorEastAsia"/>
        </w:rPr>
        <w:t xml:space="preserve">Es claro que, como expone, la </w:t>
      </w:r>
      <w:r w:rsidR="00DD53FF">
        <w:t>Comunicación No. 854/1999</w:t>
      </w:r>
      <w:r w:rsidRPr="000A692A">
        <w:t xml:space="preserve"> del Comité de Derechos Humanos de la ONU</w:t>
      </w:r>
      <w:r w:rsidRPr="000A692A">
        <w:rPr>
          <w:rFonts w:eastAsiaTheme="minorEastAsia"/>
        </w:rPr>
        <w:t xml:space="preserve"> </w:t>
      </w:r>
      <w:r w:rsidR="00DD53FF">
        <w:rPr>
          <w:rFonts w:eastAsiaTheme="minorEastAsia"/>
        </w:rPr>
        <w:t xml:space="preserve">en el caso del </w:t>
      </w:r>
      <w:r w:rsidR="00DD53FF">
        <w:t xml:space="preserve">Sr. </w:t>
      </w:r>
      <w:proofErr w:type="spellStart"/>
      <w:r w:rsidR="00DD53FF" w:rsidRPr="000A692A">
        <w:t>Wackenheim</w:t>
      </w:r>
      <w:proofErr w:type="spellEnd"/>
      <w:r w:rsidR="00DD53FF">
        <w:t>,</w:t>
      </w:r>
      <w:r w:rsidR="00DD53FF" w:rsidRPr="000A692A">
        <w:rPr>
          <w:rFonts w:eastAsiaTheme="minorEastAsia"/>
        </w:rPr>
        <w:t xml:space="preserve"> </w:t>
      </w:r>
      <w:r w:rsidRPr="000A692A">
        <w:rPr>
          <w:rFonts w:eastAsiaTheme="minorEastAsia"/>
        </w:rPr>
        <w:t>“</w:t>
      </w:r>
      <w:r w:rsidRPr="000A692A">
        <w:rPr>
          <w:shd w:val="clear" w:color="auto" w:fill="FFFFFF"/>
        </w:rPr>
        <w:t>el mero hecho de que puedan existir otras actividades susceptibles de ser prohibidas no basta por sí mismo para conferir carácter discriminatorio a la prohibición del lanzamiento de enanos”</w:t>
      </w:r>
      <w:r w:rsidR="008B4EDA">
        <w:rPr>
          <w:shd w:val="clear" w:color="auto" w:fill="FFFFFF"/>
        </w:rPr>
        <w:t xml:space="preserve">. Y, llegados a este extremo, entonces, </w:t>
      </w:r>
      <w:r w:rsidR="008B4EDA" w:rsidRPr="000A692A">
        <w:rPr>
          <w:rFonts w:eastAsiaTheme="minorEastAsia"/>
        </w:rPr>
        <w:t xml:space="preserve">cabe preguntarse los motivos por los que la respuesta del sistema jurídico </w:t>
      </w:r>
      <w:r w:rsidR="008B4EDA">
        <w:rPr>
          <w:rFonts w:eastAsiaTheme="minorEastAsia"/>
        </w:rPr>
        <w:t>no es homogénea</w:t>
      </w:r>
      <w:r w:rsidR="00C35F50">
        <w:rPr>
          <w:rFonts w:eastAsiaTheme="minorEastAsia"/>
        </w:rPr>
        <w:t xml:space="preserve"> (igual de enérgica)</w:t>
      </w:r>
      <w:r w:rsidR="009C2E0C">
        <w:rPr>
          <w:rFonts w:eastAsiaTheme="minorEastAsia"/>
        </w:rPr>
        <w:t xml:space="preserve"> en el caso del “alterne-</w:t>
      </w:r>
      <w:r w:rsidR="00FB6967">
        <w:rPr>
          <w:rFonts w:eastAsiaTheme="minorEastAsia"/>
        </w:rPr>
        <w:t>prostitución</w:t>
      </w:r>
      <w:r w:rsidR="009C2E0C">
        <w:rPr>
          <w:rFonts w:eastAsiaTheme="minorEastAsia"/>
        </w:rPr>
        <w:t>”</w:t>
      </w:r>
      <w:r w:rsidR="00FB6967">
        <w:rPr>
          <w:rFonts w:eastAsiaTheme="minorEastAsia"/>
        </w:rPr>
        <w:t>.</w:t>
      </w:r>
      <w:r w:rsidR="008B4EDA">
        <w:rPr>
          <w:rFonts w:eastAsiaTheme="minorEastAsia"/>
        </w:rPr>
        <w:t xml:space="preserve"> </w:t>
      </w:r>
    </w:p>
    <w:p w:rsidR="008B4EDA" w:rsidRDefault="008B4EDA" w:rsidP="00E370D4">
      <w:pPr>
        <w:tabs>
          <w:tab w:val="clear" w:pos="3420"/>
        </w:tabs>
        <w:autoSpaceDE/>
        <w:autoSpaceDN/>
        <w:spacing w:line="240" w:lineRule="auto"/>
        <w:rPr>
          <w:rFonts w:eastAsiaTheme="minorEastAsia"/>
        </w:rPr>
      </w:pPr>
    </w:p>
    <w:p w:rsidR="00892B18" w:rsidRDefault="008B4EDA" w:rsidP="008B4EDA">
      <w:pPr>
        <w:tabs>
          <w:tab w:val="clear" w:pos="3420"/>
        </w:tabs>
        <w:autoSpaceDE/>
        <w:autoSpaceDN/>
        <w:spacing w:line="240" w:lineRule="auto"/>
        <w:rPr>
          <w:rFonts w:eastAsiaTheme="minorEastAsia"/>
        </w:rPr>
      </w:pPr>
      <w:r>
        <w:rPr>
          <w:rFonts w:eastAsiaTheme="minorEastAsia"/>
        </w:rPr>
        <w:t xml:space="preserve">Y, quizás, siguiendo el planteamiento </w:t>
      </w:r>
      <w:r w:rsidR="00351403">
        <w:rPr>
          <w:rFonts w:eastAsiaTheme="minorEastAsia"/>
        </w:rPr>
        <w:t>de</w:t>
      </w:r>
      <w:r>
        <w:rPr>
          <w:rFonts w:eastAsiaTheme="minorEastAsia"/>
        </w:rPr>
        <w:t xml:space="preserve"> ROTH (2009), el nivel de “repugnancia” que suscita </w:t>
      </w:r>
      <w:r w:rsidR="0051759B">
        <w:rPr>
          <w:rFonts w:eastAsiaTheme="minorEastAsia"/>
        </w:rPr>
        <w:t xml:space="preserve">el “alterne/prostitución” </w:t>
      </w:r>
      <w:r>
        <w:rPr>
          <w:rFonts w:eastAsiaTheme="minorEastAsia"/>
        </w:rPr>
        <w:t xml:space="preserve">es </w:t>
      </w:r>
      <w:r w:rsidR="00897518">
        <w:rPr>
          <w:rFonts w:eastAsiaTheme="minorEastAsia"/>
        </w:rPr>
        <w:t>sustancialmente menor al que preconizamos</w:t>
      </w:r>
      <w:r w:rsidR="00870DA4">
        <w:rPr>
          <w:rFonts w:eastAsiaTheme="minorEastAsia"/>
        </w:rPr>
        <w:t xml:space="preserve"> socialmente</w:t>
      </w:r>
      <w:r w:rsidR="00897518">
        <w:rPr>
          <w:rFonts w:eastAsiaTheme="minorEastAsia"/>
        </w:rPr>
        <w:t xml:space="preserve">. De modo que a diferencia de otros supuestos (como el lanzamiento de personas de “talla baja”), </w:t>
      </w:r>
      <w:r>
        <w:rPr>
          <w:rFonts w:eastAsiaTheme="minorEastAsia"/>
        </w:rPr>
        <w:t xml:space="preserve">el </w:t>
      </w:r>
      <w:r w:rsidRPr="008B4EDA">
        <w:rPr>
          <w:rFonts w:eastAsiaTheme="minorEastAsia"/>
        </w:rPr>
        <w:t xml:space="preserve">disgusto por </w:t>
      </w:r>
      <w:r w:rsidR="00897518">
        <w:rPr>
          <w:rFonts w:eastAsiaTheme="minorEastAsia"/>
        </w:rPr>
        <w:t xml:space="preserve">este tipo de </w:t>
      </w:r>
      <w:r>
        <w:rPr>
          <w:rFonts w:eastAsiaTheme="minorEastAsia"/>
        </w:rPr>
        <w:t>“transacci</w:t>
      </w:r>
      <w:r w:rsidR="00C35F50">
        <w:rPr>
          <w:rFonts w:eastAsiaTheme="minorEastAsia"/>
        </w:rPr>
        <w:t>ones</w:t>
      </w:r>
      <w:r>
        <w:rPr>
          <w:rFonts w:eastAsiaTheme="minorEastAsia"/>
        </w:rPr>
        <w:t xml:space="preserve">” </w:t>
      </w:r>
      <w:r w:rsidR="00897518">
        <w:rPr>
          <w:rFonts w:eastAsiaTheme="minorEastAsia"/>
        </w:rPr>
        <w:t xml:space="preserve">no </w:t>
      </w:r>
      <w:r>
        <w:rPr>
          <w:rFonts w:eastAsiaTheme="minorEastAsia"/>
        </w:rPr>
        <w:t xml:space="preserve">se erige en una </w:t>
      </w:r>
      <w:r w:rsidRPr="008B4EDA">
        <w:rPr>
          <w:rFonts w:eastAsiaTheme="minorEastAsia"/>
        </w:rPr>
        <w:t>limitación real</w:t>
      </w:r>
      <w:r>
        <w:rPr>
          <w:rFonts w:eastAsiaTheme="minorEastAsia"/>
        </w:rPr>
        <w:t xml:space="preserve"> insuperable</w:t>
      </w:r>
      <w:r w:rsidR="00897518">
        <w:rPr>
          <w:rFonts w:eastAsiaTheme="minorEastAsia"/>
        </w:rPr>
        <w:t xml:space="preserve">, que no tenga en cuenta </w:t>
      </w:r>
      <w:r w:rsidR="00C05B9E">
        <w:rPr>
          <w:rFonts w:eastAsiaTheme="minorEastAsia"/>
        </w:rPr>
        <w:t xml:space="preserve">la existencia de proveedores dispuestos y demandantes y </w:t>
      </w:r>
      <w:r w:rsidR="00916D31">
        <w:rPr>
          <w:rFonts w:eastAsiaTheme="minorEastAsia"/>
        </w:rPr>
        <w:t>de los beneficios que pueda comportar este tipo de “comercio”</w:t>
      </w:r>
      <w:r>
        <w:rPr>
          <w:rFonts w:eastAsiaTheme="minorEastAsia"/>
        </w:rPr>
        <w:t xml:space="preserve">. </w:t>
      </w:r>
    </w:p>
    <w:p w:rsidR="00892B18" w:rsidRDefault="00892B18" w:rsidP="008B4EDA">
      <w:pPr>
        <w:tabs>
          <w:tab w:val="clear" w:pos="3420"/>
        </w:tabs>
        <w:autoSpaceDE/>
        <w:autoSpaceDN/>
        <w:spacing w:line="240" w:lineRule="auto"/>
        <w:rPr>
          <w:rFonts w:eastAsiaTheme="minorEastAsia"/>
        </w:rPr>
      </w:pPr>
    </w:p>
    <w:p w:rsidR="000A692A" w:rsidRPr="000A692A" w:rsidRDefault="00916D31" w:rsidP="008B4EDA">
      <w:pPr>
        <w:tabs>
          <w:tab w:val="clear" w:pos="3420"/>
        </w:tabs>
        <w:autoSpaceDE/>
        <w:autoSpaceDN/>
        <w:spacing w:line="240" w:lineRule="auto"/>
        <w:rPr>
          <w:b/>
        </w:rPr>
      </w:pPr>
      <w:r>
        <w:rPr>
          <w:rFonts w:eastAsiaTheme="minorEastAsia"/>
        </w:rPr>
        <w:t xml:space="preserve">La singularidad de la </w:t>
      </w:r>
      <w:r w:rsidR="008B4EDA">
        <w:rPr>
          <w:rFonts w:eastAsiaTheme="minorEastAsia"/>
        </w:rPr>
        <w:t xml:space="preserve">prostitución </w:t>
      </w:r>
      <w:r>
        <w:rPr>
          <w:rFonts w:eastAsiaTheme="minorEastAsia"/>
        </w:rPr>
        <w:t xml:space="preserve">en nuestro país </w:t>
      </w:r>
      <w:r w:rsidR="008B4EDA">
        <w:rPr>
          <w:rFonts w:eastAsiaTheme="minorEastAsia"/>
        </w:rPr>
        <w:t xml:space="preserve">es que pese a que, aparentemente, suscita un nivel de desaprobación social muy elevado, se trata de una transacción </w:t>
      </w:r>
      <w:r w:rsidR="00C05B9E">
        <w:rPr>
          <w:rFonts w:eastAsiaTheme="minorEastAsia"/>
        </w:rPr>
        <w:t>(</w:t>
      </w:r>
      <w:r w:rsidR="00C05B9E" w:rsidRPr="00FC125C">
        <w:rPr>
          <w:rFonts w:eastAsiaTheme="minorEastAsia"/>
          <w:i/>
        </w:rPr>
        <w:t>de facto</w:t>
      </w:r>
      <w:r w:rsidR="00C05B9E">
        <w:rPr>
          <w:rFonts w:eastAsiaTheme="minorEastAsia"/>
        </w:rPr>
        <w:t>) “</w:t>
      </w:r>
      <w:r>
        <w:rPr>
          <w:rFonts w:eastAsiaTheme="minorEastAsia"/>
        </w:rPr>
        <w:t>p</w:t>
      </w:r>
      <w:r w:rsidR="0051759B">
        <w:rPr>
          <w:rFonts w:eastAsiaTheme="minorEastAsia"/>
        </w:rPr>
        <w:t xml:space="preserve">lenamente </w:t>
      </w:r>
      <w:r>
        <w:rPr>
          <w:rFonts w:eastAsiaTheme="minorEastAsia"/>
        </w:rPr>
        <w:t>aceptada</w:t>
      </w:r>
      <w:r w:rsidR="00C05B9E">
        <w:rPr>
          <w:rFonts w:eastAsiaTheme="minorEastAsia"/>
        </w:rPr>
        <w:t>”</w:t>
      </w:r>
      <w:r w:rsidR="0051759B">
        <w:rPr>
          <w:rFonts w:eastAsiaTheme="minorEastAsia"/>
        </w:rPr>
        <w:t xml:space="preserve"> (basta constatar el reciente impacto que su cuantificación ha tenido en el PIB)</w:t>
      </w:r>
      <w:r>
        <w:rPr>
          <w:rFonts w:eastAsiaTheme="minorEastAsia"/>
        </w:rPr>
        <w:t xml:space="preserve">, evidenciando que el nivel de repugnancia es </w:t>
      </w:r>
      <w:r w:rsidR="00F14D82">
        <w:rPr>
          <w:rFonts w:eastAsiaTheme="minorEastAsia"/>
        </w:rPr>
        <w:t>(en términos reales) mucho menor</w:t>
      </w:r>
      <w:r w:rsidR="00B7128F">
        <w:rPr>
          <w:rFonts w:eastAsiaTheme="minorEastAsia"/>
        </w:rPr>
        <w:t>. O</w:t>
      </w:r>
      <w:r w:rsidR="00F14D82">
        <w:rPr>
          <w:rFonts w:eastAsiaTheme="minorEastAsia"/>
        </w:rPr>
        <w:t>, dicho de otro modo,</w:t>
      </w:r>
      <w:r>
        <w:rPr>
          <w:rFonts w:eastAsiaTheme="minorEastAsia"/>
        </w:rPr>
        <w:t xml:space="preserve"> la aversión no es lo suficiente </w:t>
      </w:r>
      <w:r w:rsidR="00F14D82">
        <w:rPr>
          <w:rFonts w:eastAsiaTheme="minorEastAsia"/>
        </w:rPr>
        <w:t xml:space="preserve">alta </w:t>
      </w:r>
      <w:r>
        <w:rPr>
          <w:rFonts w:eastAsiaTheme="minorEastAsia"/>
        </w:rPr>
        <w:t xml:space="preserve">como para constreñirla </w:t>
      </w:r>
      <w:r w:rsidR="00897518">
        <w:rPr>
          <w:rFonts w:eastAsiaTheme="minorEastAsia"/>
        </w:rPr>
        <w:t>significativamente (o, al menos, al nivel que la sociedad “parece” estar exigiendo)</w:t>
      </w:r>
      <w:r>
        <w:rPr>
          <w:rFonts w:eastAsiaTheme="minorEastAsia"/>
        </w:rPr>
        <w:t>.</w:t>
      </w:r>
      <w:r w:rsidR="009C2E0C">
        <w:rPr>
          <w:rFonts w:eastAsiaTheme="minorEastAsia"/>
        </w:rPr>
        <w:t xml:space="preserve"> Lo que, probablemente, significa que se trata de una actividad que socialmente (por los motivos que sean) no queda “tan fuera del comercio”.</w:t>
      </w:r>
    </w:p>
    <w:p w:rsidR="00223D95" w:rsidRPr="000A692A" w:rsidRDefault="00223D95" w:rsidP="00A16627">
      <w:pPr>
        <w:spacing w:line="240" w:lineRule="auto"/>
        <w:rPr>
          <w:b/>
        </w:rPr>
      </w:pPr>
    </w:p>
    <w:p w:rsidR="00BC7610" w:rsidRPr="000A692A" w:rsidRDefault="00297B9F" w:rsidP="00A16627">
      <w:pPr>
        <w:spacing w:line="240" w:lineRule="auto"/>
        <w:rPr>
          <w:b/>
        </w:rPr>
      </w:pPr>
      <w:r>
        <w:rPr>
          <w:b/>
        </w:rPr>
        <w:t>5. Valoración final: nuestro nivel de “repugnancia social” en entredicho</w:t>
      </w:r>
    </w:p>
    <w:p w:rsidR="00BC7610" w:rsidRPr="000A692A" w:rsidRDefault="00BC7610" w:rsidP="00A16627">
      <w:pPr>
        <w:spacing w:line="240" w:lineRule="auto"/>
        <w:rPr>
          <w:b/>
        </w:rPr>
      </w:pPr>
    </w:p>
    <w:p w:rsidR="00AF767B" w:rsidRDefault="00CC69A9" w:rsidP="00A16627">
      <w:pPr>
        <w:spacing w:line="240" w:lineRule="auto"/>
      </w:pPr>
      <w:r w:rsidRPr="00CC69A9">
        <w:t xml:space="preserve">La aceptación de las reglas que se derivan de la dogmática jurídica </w:t>
      </w:r>
      <w:r>
        <w:t xml:space="preserve">desemboca en la necesidad de aceptar ciertas consecuencias jurídicas aparentemente ineludibles: la necesidad de preservar </w:t>
      </w:r>
      <w:r w:rsidR="00713897">
        <w:t xml:space="preserve">el principio de integridad </w:t>
      </w:r>
      <w:r>
        <w:t>de los ciudadanos de un Estado de Derecho</w:t>
      </w:r>
      <w:r w:rsidR="00713897">
        <w:t xml:space="preserve"> </w:t>
      </w:r>
      <w:r>
        <w:t xml:space="preserve">y el consiguiente principio de indisponibilidad de derechos </w:t>
      </w:r>
      <w:r w:rsidR="00713897">
        <w:t xml:space="preserve">(limitando las transacciones que pueden ser objeto de comercio) debería conllevar la automática declaración de ilicitud de determinadas transacciones, con independencia de la existencia o no de un mercado plagado de demandantes y ofertantes de un determinado servicio o prestación (como en el caso del Sr. </w:t>
      </w:r>
      <w:proofErr w:type="spellStart"/>
      <w:r w:rsidR="00713897" w:rsidRPr="000A692A">
        <w:t>Wackenheim</w:t>
      </w:r>
      <w:proofErr w:type="spellEnd"/>
      <w:r w:rsidR="00713897">
        <w:t>).</w:t>
      </w:r>
    </w:p>
    <w:p w:rsidR="00713897" w:rsidRDefault="00713897" w:rsidP="00A16627">
      <w:pPr>
        <w:spacing w:line="240" w:lineRule="auto"/>
      </w:pPr>
    </w:p>
    <w:p w:rsidR="00CC69A9" w:rsidRPr="008A3B6F" w:rsidRDefault="00CC69A9" w:rsidP="008A3B6F">
      <w:pPr>
        <w:tabs>
          <w:tab w:val="clear" w:pos="3420"/>
        </w:tabs>
        <w:adjustRightInd w:val="0"/>
        <w:spacing w:line="240" w:lineRule="auto"/>
        <w:rPr>
          <w:rFonts w:eastAsiaTheme="minorEastAsia"/>
        </w:rPr>
      </w:pPr>
      <w:r w:rsidRPr="008A3B6F">
        <w:t xml:space="preserve">No obstante, es claro que ni el Derecho tiene </w:t>
      </w:r>
      <w:r w:rsidR="00713897" w:rsidRPr="008A3B6F">
        <w:t xml:space="preserve">por sí mismo </w:t>
      </w:r>
      <w:r w:rsidRPr="008A3B6F">
        <w:t xml:space="preserve">la fortaleza </w:t>
      </w:r>
      <w:r w:rsidR="00713897" w:rsidRPr="008A3B6F">
        <w:t xml:space="preserve">suficiente como </w:t>
      </w:r>
      <w:r w:rsidRPr="008A3B6F">
        <w:t>para torcer la voluntad social de los ciudadanos</w:t>
      </w:r>
      <w:r w:rsidR="00713897" w:rsidRPr="008A3B6F">
        <w:t xml:space="preserve"> (</w:t>
      </w:r>
      <w:r w:rsidR="008A3B6F" w:rsidRPr="008A3B6F">
        <w:rPr>
          <w:rFonts w:eastAsiaTheme="minorEastAsia"/>
        </w:rPr>
        <w:t>la obediencia no está garantizada por el mero hecho de la edición de una norma – CALSAMIGLIA, 1988, p. 329)</w:t>
      </w:r>
      <w:r w:rsidRPr="008A3B6F">
        <w:t>, ni tampoco el ímpetu social y político q</w:t>
      </w:r>
      <w:r w:rsidR="00713897" w:rsidRPr="008A3B6F">
        <w:t>ue lo inspira tiene la misma in</w:t>
      </w:r>
      <w:r w:rsidRPr="008A3B6F">
        <w:t xml:space="preserve">tensidad. Esta realidad </w:t>
      </w:r>
      <w:r w:rsidR="00713897" w:rsidRPr="008A3B6F">
        <w:t xml:space="preserve">(sin duda, compleja) </w:t>
      </w:r>
      <w:r w:rsidRPr="008A3B6F">
        <w:t xml:space="preserve">describe situaciones </w:t>
      </w:r>
      <w:r w:rsidRPr="008A3B6F">
        <w:rPr>
          <w:i/>
        </w:rPr>
        <w:t>de facto</w:t>
      </w:r>
      <w:r w:rsidR="008A3B6F" w:rsidRPr="008A3B6F">
        <w:rPr>
          <w:i/>
        </w:rPr>
        <w:t xml:space="preserve"> </w:t>
      </w:r>
      <w:r w:rsidR="001E68A9">
        <w:t>“</w:t>
      </w:r>
      <w:r w:rsidR="008A3B6F" w:rsidRPr="008A3B6F">
        <w:t>paralegales</w:t>
      </w:r>
      <w:r w:rsidR="001E68A9">
        <w:t>”</w:t>
      </w:r>
      <w:r w:rsidR="008A3B6F" w:rsidRPr="008A3B6F">
        <w:t xml:space="preserve"> </w:t>
      </w:r>
      <w:r w:rsidRPr="008A3B6F">
        <w:t>y</w:t>
      </w:r>
      <w:r w:rsidR="008A3B6F" w:rsidRPr="008A3B6F">
        <w:t>, por ende,</w:t>
      </w:r>
      <w:r w:rsidRPr="008A3B6F">
        <w:t xml:space="preserve"> niveles de </w:t>
      </w:r>
      <w:r w:rsidRPr="008A3B6F">
        <w:lastRenderedPageBreak/>
        <w:t xml:space="preserve">repugnancia social </w:t>
      </w:r>
      <w:r w:rsidR="004435E3">
        <w:t xml:space="preserve">(declarada o no) </w:t>
      </w:r>
      <w:r w:rsidRPr="008A3B6F">
        <w:t xml:space="preserve">no homogéneos. </w:t>
      </w:r>
      <w:r w:rsidR="008A3B6F" w:rsidRPr="008A3B6F">
        <w:t xml:space="preserve">Circunstancias </w:t>
      </w:r>
      <w:r w:rsidR="00713897" w:rsidRPr="008A3B6F">
        <w:t>perfectamente visible</w:t>
      </w:r>
      <w:r w:rsidR="008A3B6F" w:rsidRPr="008A3B6F">
        <w:t>s</w:t>
      </w:r>
      <w:r w:rsidR="00713897" w:rsidRPr="008A3B6F">
        <w:t xml:space="preserve"> en los supuestos</w:t>
      </w:r>
      <w:r w:rsidR="00713897">
        <w:t xml:space="preserve"> de </w:t>
      </w:r>
      <w:r w:rsidR="001E68A9">
        <w:t xml:space="preserve">las actividades de </w:t>
      </w:r>
      <w:r w:rsidR="00713897">
        <w:t>“alterne-prostitución”</w:t>
      </w:r>
      <w:r w:rsidR="008A3B6F">
        <w:t xml:space="preserve">. Lo que </w:t>
      </w:r>
      <w:r w:rsidR="00713897">
        <w:t>tiene un efecto paradójico, pues, la ausencia de regulación somete a sus “participantes” a las “caprichosas” (y salvajes) reglas del mercado (evidenciando una</w:t>
      </w:r>
      <w:r w:rsidR="00F21465">
        <w:t xml:space="preserve"> </w:t>
      </w:r>
      <w:r w:rsidR="00713897">
        <w:t xml:space="preserve">dicotomía </w:t>
      </w:r>
      <w:r w:rsidR="00713897">
        <w:rPr>
          <w:rFonts w:eastAsiaTheme="minorEastAsia"/>
        </w:rPr>
        <w:t>difícil de digerir en términos conceptuales y de nuestro Estado de Derecho</w:t>
      </w:r>
      <w:r w:rsidR="00713897" w:rsidRPr="000A692A">
        <w:rPr>
          <w:rFonts w:eastAsiaTheme="minorEastAsia"/>
        </w:rPr>
        <w:t>,</w:t>
      </w:r>
      <w:r w:rsidR="00713897">
        <w:rPr>
          <w:rFonts w:eastAsiaTheme="minorEastAsia"/>
        </w:rPr>
        <w:t xml:space="preserve"> pues,</w:t>
      </w:r>
      <w:r w:rsidR="00713897" w:rsidRPr="000A692A">
        <w:rPr>
          <w:rFonts w:eastAsiaTheme="minorEastAsia"/>
        </w:rPr>
        <w:t xml:space="preserve"> o bien, asumimos que en este ámbito no hay margen para el juego de la ética o la moral, o bien, debemos aceptar que éstas se alinean </w:t>
      </w:r>
      <w:r w:rsidR="00713897">
        <w:rPr>
          <w:rFonts w:eastAsiaTheme="minorEastAsia"/>
        </w:rPr>
        <w:t xml:space="preserve">totalmente </w:t>
      </w:r>
      <w:r w:rsidR="00713897" w:rsidRPr="000A692A">
        <w:rPr>
          <w:rFonts w:eastAsiaTheme="minorEastAsia"/>
        </w:rPr>
        <w:t>con la eficiencia</w:t>
      </w:r>
      <w:r w:rsidR="001E68A9">
        <w:rPr>
          <w:rFonts w:eastAsiaTheme="minorEastAsia"/>
        </w:rPr>
        <w:t xml:space="preserve"> – y la corriente más liberal del </w:t>
      </w:r>
      <w:proofErr w:type="spellStart"/>
      <w:r w:rsidR="001E68A9" w:rsidRPr="001E68A9">
        <w:rPr>
          <w:rFonts w:eastAsiaTheme="minorEastAsia"/>
          <w:i/>
        </w:rPr>
        <w:t>Law</w:t>
      </w:r>
      <w:proofErr w:type="spellEnd"/>
      <w:r w:rsidR="001E68A9" w:rsidRPr="001E68A9">
        <w:rPr>
          <w:rFonts w:eastAsiaTheme="minorEastAsia"/>
          <w:i/>
        </w:rPr>
        <w:t xml:space="preserve"> &amp; </w:t>
      </w:r>
      <w:proofErr w:type="spellStart"/>
      <w:r w:rsidR="001E68A9" w:rsidRPr="001E68A9">
        <w:rPr>
          <w:rFonts w:eastAsiaTheme="minorEastAsia"/>
          <w:i/>
        </w:rPr>
        <w:t>Economics</w:t>
      </w:r>
      <w:proofErr w:type="spellEnd"/>
      <w:r w:rsidR="00713897">
        <w:rPr>
          <w:rFonts w:eastAsiaTheme="minorEastAsia"/>
        </w:rPr>
        <w:t xml:space="preserve">); </w:t>
      </w:r>
      <w:r w:rsidR="00713897">
        <w:t xml:space="preserve">y, a su vez, </w:t>
      </w:r>
      <w:r w:rsidR="00897518">
        <w:t xml:space="preserve">ponen de manifiesto </w:t>
      </w:r>
      <w:r w:rsidR="00713897">
        <w:t>que nuestra concepción de los principios de integridad e indisponibilidad están notablemente devaluados, pues, nuestro nivel de repugnancia social es mucho menor del que preconizamos.</w:t>
      </w:r>
    </w:p>
    <w:p w:rsidR="00AF767B" w:rsidRPr="000A692A" w:rsidRDefault="00AF767B" w:rsidP="00A16627">
      <w:pPr>
        <w:spacing w:line="240" w:lineRule="auto"/>
        <w:rPr>
          <w:b/>
        </w:rPr>
      </w:pPr>
    </w:p>
    <w:p w:rsidR="00754D58" w:rsidRPr="000A692A" w:rsidRDefault="00BC7610" w:rsidP="00A16627">
      <w:pPr>
        <w:spacing w:line="240" w:lineRule="auto"/>
        <w:rPr>
          <w:b/>
        </w:rPr>
      </w:pPr>
      <w:r w:rsidRPr="000A692A">
        <w:rPr>
          <w:b/>
        </w:rPr>
        <w:t>6</w:t>
      </w:r>
      <w:r w:rsidR="008329DF" w:rsidRPr="000A692A">
        <w:rPr>
          <w:b/>
        </w:rPr>
        <w:t xml:space="preserve">. </w:t>
      </w:r>
      <w:r w:rsidR="00754D58" w:rsidRPr="000A692A">
        <w:rPr>
          <w:b/>
        </w:rPr>
        <w:t>B</w:t>
      </w:r>
      <w:r w:rsidR="008329DF" w:rsidRPr="000A692A">
        <w:rPr>
          <w:b/>
        </w:rPr>
        <w:t>ibliografía citada</w:t>
      </w:r>
    </w:p>
    <w:p w:rsidR="00754D58" w:rsidRPr="000A692A" w:rsidRDefault="00754D58" w:rsidP="00A16627">
      <w:pPr>
        <w:spacing w:line="240" w:lineRule="auto"/>
      </w:pPr>
    </w:p>
    <w:p w:rsidR="00767C6F" w:rsidRPr="000A692A" w:rsidRDefault="00F14D82" w:rsidP="00E370D4">
      <w:pPr>
        <w:pStyle w:val="Pargrafdellista"/>
        <w:numPr>
          <w:ilvl w:val="0"/>
          <w:numId w:val="7"/>
        </w:numPr>
        <w:spacing w:line="240" w:lineRule="auto"/>
      </w:pPr>
      <w:r>
        <w:t xml:space="preserve">G. Becker (1980). </w:t>
      </w:r>
      <w:r w:rsidR="00F17CF5" w:rsidRPr="000A692A">
        <w:rPr>
          <w:lang w:val="es-ES_tradnl"/>
        </w:rPr>
        <w:t>«</w:t>
      </w:r>
      <w:r w:rsidR="00767C6F" w:rsidRPr="000A692A">
        <w:rPr>
          <w:iCs/>
        </w:rPr>
        <w:t>El enfoque económico del comportamiento humano</w:t>
      </w:r>
      <w:r w:rsidR="00F17CF5" w:rsidRPr="000A692A">
        <w:rPr>
          <w:lang w:val="es-ES_tradnl"/>
        </w:rPr>
        <w:t>»</w:t>
      </w:r>
      <w:r w:rsidR="00767C6F" w:rsidRPr="000A692A">
        <w:rPr>
          <w:iCs/>
        </w:rPr>
        <w:t>.</w:t>
      </w:r>
      <w:r w:rsidR="00767C6F" w:rsidRPr="000A692A">
        <w:rPr>
          <w:i/>
          <w:iCs/>
        </w:rPr>
        <w:t xml:space="preserve"> Información Comercial Española.</w:t>
      </w:r>
    </w:p>
    <w:p w:rsidR="00825B09" w:rsidRPr="006B30C1" w:rsidRDefault="00F14D82" w:rsidP="00E370D4">
      <w:pPr>
        <w:pStyle w:val="Pargrafdellista"/>
        <w:numPr>
          <w:ilvl w:val="0"/>
          <w:numId w:val="7"/>
        </w:numPr>
        <w:spacing w:line="240" w:lineRule="auto"/>
        <w:rPr>
          <w:iCs/>
        </w:rPr>
      </w:pPr>
      <w:r>
        <w:rPr>
          <w:bCs/>
          <w:smallCaps/>
        </w:rPr>
        <w:t xml:space="preserve">J. M. </w:t>
      </w:r>
      <w:r>
        <w:t xml:space="preserve">Buchanan (1987). </w:t>
      </w:r>
      <w:r w:rsidR="00F17CF5" w:rsidRPr="000A692A">
        <w:rPr>
          <w:lang w:val="es-ES_tradnl"/>
        </w:rPr>
        <w:t>«</w:t>
      </w:r>
      <w:r w:rsidR="00825B09" w:rsidRPr="000A692A">
        <w:rPr>
          <w:iCs/>
        </w:rPr>
        <w:t>La constitución de la política económica</w:t>
      </w:r>
      <w:r w:rsidR="00F17CF5" w:rsidRPr="000A692A">
        <w:rPr>
          <w:lang w:val="es-ES_tradnl"/>
        </w:rPr>
        <w:t>»</w:t>
      </w:r>
      <w:r w:rsidR="00825B09" w:rsidRPr="000A692A">
        <w:t xml:space="preserve">. </w:t>
      </w:r>
      <w:r w:rsidR="00825B09" w:rsidRPr="000A692A">
        <w:rPr>
          <w:i/>
        </w:rPr>
        <w:t xml:space="preserve">Papeles de </w:t>
      </w:r>
      <w:r w:rsidR="00825B09" w:rsidRPr="006B30C1">
        <w:rPr>
          <w:i/>
          <w:iCs/>
        </w:rPr>
        <w:t>Economía Española</w:t>
      </w:r>
      <w:r w:rsidR="00825B09" w:rsidRPr="006B30C1">
        <w:rPr>
          <w:iCs/>
        </w:rPr>
        <w:t>, núm. 30/31.</w:t>
      </w:r>
    </w:p>
    <w:p w:rsidR="006B30C1" w:rsidRPr="006B30C1" w:rsidRDefault="006B30C1" w:rsidP="006B30C1">
      <w:pPr>
        <w:pStyle w:val="Pargrafdellista"/>
        <w:numPr>
          <w:ilvl w:val="0"/>
          <w:numId w:val="7"/>
        </w:numPr>
        <w:spacing w:line="240" w:lineRule="auto"/>
        <w:rPr>
          <w:iCs/>
        </w:rPr>
      </w:pPr>
      <w:r w:rsidRPr="006B30C1">
        <w:rPr>
          <w:iCs/>
        </w:rPr>
        <w:t xml:space="preserve">P. </w:t>
      </w:r>
      <w:proofErr w:type="spellStart"/>
      <w:r w:rsidRPr="006B30C1">
        <w:rPr>
          <w:iCs/>
        </w:rPr>
        <w:t>Benlloch</w:t>
      </w:r>
      <w:proofErr w:type="spellEnd"/>
      <w:r w:rsidRPr="006B30C1">
        <w:rPr>
          <w:iCs/>
        </w:rPr>
        <w:t xml:space="preserve"> Sanz (2008). </w:t>
      </w:r>
      <w:r w:rsidRPr="000A692A">
        <w:rPr>
          <w:lang w:val="es-ES_tradnl"/>
        </w:rPr>
        <w:t>«</w:t>
      </w:r>
      <w:r w:rsidRPr="006B30C1">
        <w:rPr>
          <w:iCs/>
        </w:rPr>
        <w:t xml:space="preserve">La </w:t>
      </w:r>
      <w:proofErr w:type="spellStart"/>
      <w:r w:rsidRPr="006B30C1">
        <w:rPr>
          <w:iCs/>
        </w:rPr>
        <w:t>laboralidad</w:t>
      </w:r>
      <w:proofErr w:type="spellEnd"/>
      <w:r w:rsidRPr="006B30C1">
        <w:rPr>
          <w:iCs/>
        </w:rPr>
        <w:t xml:space="preserve"> de las actividades de alterne y prostitución: un debate abierto</w:t>
      </w:r>
      <w:r w:rsidRPr="000A692A">
        <w:rPr>
          <w:lang w:val="es-ES_tradnl"/>
        </w:rPr>
        <w:t>»</w:t>
      </w:r>
      <w:r w:rsidRPr="006B30C1">
        <w:rPr>
          <w:iCs/>
        </w:rPr>
        <w:t xml:space="preserve">. </w:t>
      </w:r>
      <w:r w:rsidRPr="006B30C1">
        <w:rPr>
          <w:i/>
          <w:iCs/>
        </w:rPr>
        <w:t>Aranzadi Social</w:t>
      </w:r>
      <w:r w:rsidRPr="006B30C1">
        <w:rPr>
          <w:iCs/>
        </w:rPr>
        <w:t>, núm. 7, versión digital (BIB\2008\1321).</w:t>
      </w:r>
    </w:p>
    <w:p w:rsidR="00945CA5" w:rsidRPr="000A692A" w:rsidRDefault="00F14D82" w:rsidP="00B03237">
      <w:pPr>
        <w:pStyle w:val="Pargrafdellista"/>
        <w:numPr>
          <w:ilvl w:val="0"/>
          <w:numId w:val="7"/>
        </w:numPr>
        <w:tabs>
          <w:tab w:val="clear" w:pos="3420"/>
        </w:tabs>
        <w:autoSpaceDE/>
        <w:autoSpaceDN/>
        <w:spacing w:line="240" w:lineRule="auto"/>
      </w:pPr>
      <w:r>
        <w:rPr>
          <w:bCs/>
          <w:smallCaps/>
        </w:rPr>
        <w:t xml:space="preserve">G. </w:t>
      </w:r>
      <w:proofErr w:type="spellStart"/>
      <w:r>
        <w:t>Calabresi</w:t>
      </w:r>
      <w:proofErr w:type="spellEnd"/>
      <w:r>
        <w:t xml:space="preserve"> (1984). </w:t>
      </w:r>
      <w:r w:rsidR="00945CA5" w:rsidRPr="000A692A">
        <w:rPr>
          <w:i/>
        </w:rPr>
        <w:t>El coste de los accidentes</w:t>
      </w:r>
      <w:r w:rsidR="00945CA5" w:rsidRPr="000A692A">
        <w:t xml:space="preserve">. Ariel, Madrid. </w:t>
      </w:r>
    </w:p>
    <w:p w:rsidR="003123DD" w:rsidRPr="008A3B6F" w:rsidRDefault="00F14D82" w:rsidP="00B03237">
      <w:pPr>
        <w:pStyle w:val="Pargrafdellista"/>
        <w:numPr>
          <w:ilvl w:val="0"/>
          <w:numId w:val="7"/>
        </w:numPr>
        <w:spacing w:line="240" w:lineRule="auto"/>
        <w:rPr>
          <w:smallCaps/>
        </w:rPr>
      </w:pPr>
      <w:r w:rsidRPr="00DD5B3A">
        <w:t xml:space="preserve">G. </w:t>
      </w:r>
      <w:proofErr w:type="spellStart"/>
      <w:r w:rsidRPr="00DD5B3A">
        <w:t>Calabresi</w:t>
      </w:r>
      <w:proofErr w:type="spellEnd"/>
      <w:r w:rsidRPr="00DD5B3A">
        <w:t xml:space="preserve"> y A. D. </w:t>
      </w:r>
      <w:proofErr w:type="spellStart"/>
      <w:r w:rsidRPr="00DD5B3A">
        <w:t>Melamed</w:t>
      </w:r>
      <w:proofErr w:type="spellEnd"/>
      <w:r w:rsidRPr="00DD5B3A">
        <w:t xml:space="preserve"> (1972). </w:t>
      </w:r>
      <w:r w:rsidR="00F17CF5" w:rsidRPr="008A3B6F">
        <w:rPr>
          <w:lang w:val="en-US"/>
        </w:rPr>
        <w:t>«</w:t>
      </w:r>
      <w:r w:rsidR="003123DD" w:rsidRPr="008A3B6F">
        <w:rPr>
          <w:rFonts w:eastAsiaTheme="minorEastAsia"/>
          <w:lang w:val="en-US"/>
        </w:rPr>
        <w:t>Property Rules, Liability Rules and Inalienability: One View of the Cathedral</w:t>
      </w:r>
      <w:r w:rsidR="00F17CF5" w:rsidRPr="008A3B6F">
        <w:rPr>
          <w:lang w:val="en-US"/>
        </w:rPr>
        <w:t>»</w:t>
      </w:r>
      <w:r w:rsidR="003123DD" w:rsidRPr="008A3B6F">
        <w:rPr>
          <w:rFonts w:eastAsiaTheme="minorEastAsia"/>
          <w:lang w:val="en-US"/>
        </w:rPr>
        <w:t xml:space="preserve">. </w:t>
      </w:r>
      <w:r w:rsidR="003123DD" w:rsidRPr="008A3B6F">
        <w:rPr>
          <w:rFonts w:eastAsiaTheme="minorEastAsia"/>
          <w:i/>
        </w:rPr>
        <w:t xml:space="preserve">Harvard </w:t>
      </w:r>
      <w:proofErr w:type="spellStart"/>
      <w:r w:rsidR="003123DD" w:rsidRPr="008A3B6F">
        <w:rPr>
          <w:rFonts w:eastAsiaTheme="minorEastAsia"/>
          <w:i/>
        </w:rPr>
        <w:t>Law</w:t>
      </w:r>
      <w:proofErr w:type="spellEnd"/>
      <w:r w:rsidR="003123DD" w:rsidRPr="008A3B6F">
        <w:rPr>
          <w:rFonts w:eastAsiaTheme="minorEastAsia"/>
          <w:i/>
        </w:rPr>
        <w:t xml:space="preserve"> </w:t>
      </w:r>
      <w:proofErr w:type="spellStart"/>
      <w:r w:rsidR="003123DD" w:rsidRPr="008A3B6F">
        <w:rPr>
          <w:rFonts w:eastAsiaTheme="minorEastAsia"/>
          <w:i/>
        </w:rPr>
        <w:t>Review</w:t>
      </w:r>
      <w:proofErr w:type="spellEnd"/>
      <w:r w:rsidR="003123DD" w:rsidRPr="008A3B6F">
        <w:rPr>
          <w:rFonts w:eastAsiaTheme="minorEastAsia"/>
        </w:rPr>
        <w:t>, Vol. 85.</w:t>
      </w:r>
    </w:p>
    <w:p w:rsidR="008A3B6F" w:rsidRPr="008A3B6F" w:rsidRDefault="00F14D82" w:rsidP="008A3B6F">
      <w:pPr>
        <w:pStyle w:val="Pargrafdellista"/>
        <w:numPr>
          <w:ilvl w:val="0"/>
          <w:numId w:val="7"/>
        </w:numPr>
        <w:spacing w:line="240" w:lineRule="auto"/>
        <w:rPr>
          <w:rFonts w:eastAsiaTheme="minorEastAsia"/>
        </w:rPr>
      </w:pPr>
      <w:r w:rsidRPr="008A3B6F">
        <w:rPr>
          <w:smallCaps/>
        </w:rPr>
        <w:t xml:space="preserve">A. </w:t>
      </w:r>
      <w:proofErr w:type="spellStart"/>
      <w:r w:rsidRPr="008A3B6F">
        <w:t>Calsamiglia</w:t>
      </w:r>
      <w:proofErr w:type="spellEnd"/>
      <w:r w:rsidRPr="008A3B6F">
        <w:t xml:space="preserve"> (1987). </w:t>
      </w:r>
      <w:r w:rsidR="00F17CF5" w:rsidRPr="008A3B6F">
        <w:rPr>
          <w:lang w:val="es-ES_tradnl"/>
        </w:rPr>
        <w:t>«</w:t>
      </w:r>
      <w:r w:rsidR="008B3FE1" w:rsidRPr="008A3B6F">
        <w:t>Eficiencia y derecho</w:t>
      </w:r>
      <w:r w:rsidR="00F17CF5" w:rsidRPr="008A3B6F">
        <w:rPr>
          <w:lang w:val="es-ES_tradnl"/>
        </w:rPr>
        <w:t>»</w:t>
      </w:r>
      <w:r w:rsidR="008B3FE1" w:rsidRPr="008A3B6F">
        <w:t xml:space="preserve">. </w:t>
      </w:r>
      <w:r w:rsidR="008B3FE1" w:rsidRPr="008A3B6F">
        <w:rPr>
          <w:i/>
        </w:rPr>
        <w:t>DOXA</w:t>
      </w:r>
      <w:r w:rsidR="008B3FE1" w:rsidRPr="008A3B6F">
        <w:t>, núm. 4.</w:t>
      </w:r>
    </w:p>
    <w:p w:rsidR="008A3B6F" w:rsidRPr="008A3B6F" w:rsidRDefault="008A3B6F" w:rsidP="008A3B6F">
      <w:pPr>
        <w:pStyle w:val="Pargrafdellista"/>
        <w:numPr>
          <w:ilvl w:val="0"/>
          <w:numId w:val="7"/>
        </w:numPr>
        <w:spacing w:line="240" w:lineRule="auto"/>
        <w:rPr>
          <w:rFonts w:eastAsiaTheme="minorEastAsia"/>
        </w:rPr>
      </w:pPr>
      <w:r w:rsidRPr="008A3B6F">
        <w:rPr>
          <w:smallCaps/>
        </w:rPr>
        <w:t xml:space="preserve">A. </w:t>
      </w:r>
      <w:proofErr w:type="spellStart"/>
      <w:r w:rsidRPr="008A3B6F">
        <w:t>Calsamiglia</w:t>
      </w:r>
      <w:proofErr w:type="spellEnd"/>
      <w:r w:rsidRPr="008A3B6F">
        <w:t xml:space="preserve"> (1988). </w:t>
      </w:r>
      <w:r w:rsidRPr="008A3B6F">
        <w:rPr>
          <w:lang w:val="es-ES_tradnl"/>
        </w:rPr>
        <w:t>«</w:t>
      </w:r>
      <w:r w:rsidRPr="008A3B6F">
        <w:rPr>
          <w:rFonts w:eastAsiaTheme="minorEastAsia"/>
        </w:rPr>
        <w:t>Justicia, eficiencia y derecho</w:t>
      </w:r>
      <w:r w:rsidRPr="008A3B6F">
        <w:rPr>
          <w:lang w:val="es-ES_tradnl"/>
        </w:rPr>
        <w:t>»</w:t>
      </w:r>
      <w:r w:rsidRPr="008A3B6F">
        <w:rPr>
          <w:rFonts w:eastAsiaTheme="minorEastAsia"/>
        </w:rPr>
        <w:t xml:space="preserve">. </w:t>
      </w:r>
      <w:r w:rsidRPr="008A3B6F">
        <w:rPr>
          <w:rFonts w:eastAsiaTheme="minorEastAsia"/>
          <w:i/>
        </w:rPr>
        <w:t>R</w:t>
      </w:r>
      <w:r>
        <w:rPr>
          <w:rFonts w:eastAsiaTheme="minorEastAsia"/>
          <w:i/>
        </w:rPr>
        <w:t>evista del C</w:t>
      </w:r>
      <w:r w:rsidRPr="008A3B6F">
        <w:rPr>
          <w:rFonts w:eastAsiaTheme="minorEastAsia"/>
          <w:i/>
        </w:rPr>
        <w:t>entro de Estudios Constitucionales</w:t>
      </w:r>
      <w:r>
        <w:rPr>
          <w:rFonts w:eastAsiaTheme="minorEastAsia"/>
        </w:rPr>
        <w:t>, núm.</w:t>
      </w:r>
      <w:r w:rsidRPr="008A3B6F">
        <w:rPr>
          <w:rFonts w:eastAsiaTheme="minorEastAsia"/>
        </w:rPr>
        <w:t xml:space="preserve"> 1.</w:t>
      </w:r>
    </w:p>
    <w:p w:rsidR="008B3FE1" w:rsidRPr="008A3B6F" w:rsidRDefault="00F14D82" w:rsidP="00B03237">
      <w:pPr>
        <w:pStyle w:val="Pargrafdellista"/>
        <w:numPr>
          <w:ilvl w:val="0"/>
          <w:numId w:val="7"/>
        </w:numPr>
        <w:spacing w:line="240" w:lineRule="auto"/>
        <w:rPr>
          <w:rFonts w:eastAsiaTheme="minorEastAsia"/>
        </w:rPr>
      </w:pPr>
      <w:r w:rsidRPr="008A3B6F">
        <w:rPr>
          <w:smallCaps/>
        </w:rPr>
        <w:t xml:space="preserve">A. </w:t>
      </w:r>
      <w:proofErr w:type="spellStart"/>
      <w:r w:rsidRPr="008A3B6F">
        <w:t>Calsamiglia</w:t>
      </w:r>
      <w:proofErr w:type="spellEnd"/>
      <w:r w:rsidRPr="008A3B6F">
        <w:t xml:space="preserve"> (1993).</w:t>
      </w:r>
      <w:r w:rsidR="00F21465">
        <w:t xml:space="preserve"> </w:t>
      </w:r>
      <w:r w:rsidR="008B3FE1" w:rsidRPr="008A3B6F">
        <w:rPr>
          <w:i/>
        </w:rPr>
        <w:t>Racionalidad y eficiencia del Derecho</w:t>
      </w:r>
      <w:r w:rsidR="008B3FE1" w:rsidRPr="008A3B6F">
        <w:t xml:space="preserve">. </w:t>
      </w:r>
      <w:proofErr w:type="spellStart"/>
      <w:r w:rsidR="008B3FE1" w:rsidRPr="008A3B6F">
        <w:t>Fontamara</w:t>
      </w:r>
      <w:proofErr w:type="spellEnd"/>
      <w:r w:rsidR="008B3FE1" w:rsidRPr="008A3B6F">
        <w:t>, México.</w:t>
      </w:r>
    </w:p>
    <w:p w:rsidR="00ED2675" w:rsidRPr="000A692A" w:rsidRDefault="00F14D82" w:rsidP="00B03237">
      <w:pPr>
        <w:pStyle w:val="Pargrafdellista"/>
        <w:numPr>
          <w:ilvl w:val="0"/>
          <w:numId w:val="7"/>
        </w:numPr>
        <w:spacing w:line="240" w:lineRule="auto"/>
        <w:rPr>
          <w:rFonts w:eastAsiaTheme="minorEastAsia"/>
        </w:rPr>
      </w:pPr>
      <w:r w:rsidRPr="008A3B6F">
        <w:rPr>
          <w:rFonts w:eastAsiaTheme="minorEastAsia"/>
        </w:rPr>
        <w:t xml:space="preserve">M. A. </w:t>
      </w:r>
      <w:r w:rsidR="00F17CF5" w:rsidRPr="008A3B6F">
        <w:rPr>
          <w:rFonts w:eastAsiaTheme="minorEastAsia"/>
        </w:rPr>
        <w:t>C</w:t>
      </w:r>
      <w:r w:rsidRPr="008A3B6F">
        <w:rPr>
          <w:rFonts w:eastAsiaTheme="minorEastAsia"/>
        </w:rPr>
        <w:t xml:space="preserve">asas Baamonde </w:t>
      </w:r>
      <w:r w:rsidR="00F17CF5" w:rsidRPr="008A3B6F">
        <w:rPr>
          <w:rFonts w:eastAsiaTheme="minorEastAsia"/>
        </w:rPr>
        <w:t>(2004).</w:t>
      </w:r>
      <w:r w:rsidR="00754D58" w:rsidRPr="008A3B6F">
        <w:rPr>
          <w:rFonts w:eastAsiaTheme="minorEastAsia"/>
        </w:rPr>
        <w:t xml:space="preserve"> </w:t>
      </w:r>
      <w:r w:rsidR="00F17CF5" w:rsidRPr="008A3B6F">
        <w:rPr>
          <w:lang w:val="es-ES_tradnl"/>
        </w:rPr>
        <w:t>«</w:t>
      </w:r>
      <w:r w:rsidR="00754D58" w:rsidRPr="008A3B6F">
        <w:rPr>
          <w:rFonts w:eastAsiaTheme="minorEastAsia"/>
        </w:rPr>
        <w:t>La plena efectividad</w:t>
      </w:r>
      <w:r w:rsidR="00754D58" w:rsidRPr="000A692A">
        <w:rPr>
          <w:rFonts w:eastAsiaTheme="minorEastAsia"/>
        </w:rPr>
        <w:t xml:space="preserve"> de los derechos fundamentales: juicio de ponderación (¿o de proporcionalidad?) y principio de buena fe</w:t>
      </w:r>
      <w:r w:rsidR="00F17CF5" w:rsidRPr="000A692A">
        <w:rPr>
          <w:lang w:val="es-ES_tradnl"/>
        </w:rPr>
        <w:t>»</w:t>
      </w:r>
      <w:r w:rsidR="00754D58" w:rsidRPr="000A692A">
        <w:rPr>
          <w:rFonts w:eastAsiaTheme="minorEastAsia"/>
        </w:rPr>
        <w:t xml:space="preserve">. </w:t>
      </w:r>
      <w:r w:rsidR="00754D58" w:rsidRPr="000A692A">
        <w:rPr>
          <w:rFonts w:eastAsiaTheme="minorEastAsia"/>
          <w:i/>
          <w:iCs/>
        </w:rPr>
        <w:t>Relaciones laborales</w:t>
      </w:r>
      <w:r w:rsidR="00754D58" w:rsidRPr="000A692A">
        <w:rPr>
          <w:rFonts w:eastAsiaTheme="minorEastAsia"/>
        </w:rPr>
        <w:t>, núm. 12.</w:t>
      </w:r>
    </w:p>
    <w:p w:rsidR="00D71E67" w:rsidRPr="00F114E3" w:rsidRDefault="00F114E3" w:rsidP="00B03237">
      <w:pPr>
        <w:pStyle w:val="Pargrafdellista"/>
        <w:numPr>
          <w:ilvl w:val="0"/>
          <w:numId w:val="7"/>
        </w:numPr>
        <w:tabs>
          <w:tab w:val="clear" w:pos="3420"/>
        </w:tabs>
        <w:adjustRightInd w:val="0"/>
        <w:spacing w:line="240" w:lineRule="auto"/>
        <w:rPr>
          <w:rFonts w:eastAsiaTheme="minorEastAsia"/>
          <w:bCs/>
        </w:rPr>
      </w:pPr>
      <w:r w:rsidRPr="00F114E3">
        <w:rPr>
          <w:rFonts w:eastAsiaTheme="minorEastAsia"/>
          <w:bCs/>
        </w:rPr>
        <w:t xml:space="preserve">M. T. </w:t>
      </w:r>
      <w:r w:rsidR="00D71E67" w:rsidRPr="00F114E3">
        <w:rPr>
          <w:rFonts w:eastAsiaTheme="minorEastAsia"/>
          <w:bCs/>
        </w:rPr>
        <w:t>C</w:t>
      </w:r>
      <w:r w:rsidR="00F14D82" w:rsidRPr="00F114E3">
        <w:rPr>
          <w:rFonts w:eastAsiaTheme="minorEastAsia"/>
          <w:bCs/>
        </w:rPr>
        <w:t xml:space="preserve">onde </w:t>
      </w:r>
      <w:proofErr w:type="spellStart"/>
      <w:r w:rsidR="00F14D82" w:rsidRPr="00F114E3">
        <w:rPr>
          <w:rFonts w:eastAsiaTheme="minorEastAsia"/>
          <w:bCs/>
        </w:rPr>
        <w:t>Pumpido-Tourón</w:t>
      </w:r>
      <w:proofErr w:type="spellEnd"/>
      <w:r w:rsidR="00F14D82" w:rsidRPr="00F114E3">
        <w:rPr>
          <w:rFonts w:eastAsiaTheme="minorEastAsia"/>
          <w:bCs/>
        </w:rPr>
        <w:t xml:space="preserve"> </w:t>
      </w:r>
      <w:r w:rsidR="00C501B1" w:rsidRPr="00F114E3">
        <w:rPr>
          <w:rFonts w:eastAsiaTheme="minorEastAsia"/>
          <w:bCs/>
        </w:rPr>
        <w:t>(2009)</w:t>
      </w:r>
      <w:r w:rsidR="00D71E67" w:rsidRPr="00F114E3">
        <w:rPr>
          <w:rFonts w:eastAsiaTheme="minorEastAsia"/>
          <w:bCs/>
        </w:rPr>
        <w:t xml:space="preserve">. </w:t>
      </w:r>
      <w:proofErr w:type="gramStart"/>
      <w:r w:rsidR="001E68A9" w:rsidRPr="008A3B6F">
        <w:rPr>
          <w:lang w:val="es-ES_tradnl"/>
        </w:rPr>
        <w:t>«</w:t>
      </w:r>
      <w:r w:rsidR="00D71E67" w:rsidRPr="00F114E3">
        <w:rPr>
          <w:rFonts w:eastAsiaTheme="minorEastAsia"/>
          <w:bCs/>
        </w:rPr>
        <w:t>¿</w:t>
      </w:r>
      <w:proofErr w:type="gramEnd"/>
      <w:r w:rsidR="00D71E67" w:rsidRPr="00F114E3">
        <w:rPr>
          <w:rFonts w:eastAsiaTheme="minorEastAsia"/>
          <w:bCs/>
        </w:rPr>
        <w:t>Es conveniente la regulación del ejercicio de la prostitución?</w:t>
      </w:r>
      <w:r w:rsidR="001E68A9" w:rsidRPr="001E68A9">
        <w:rPr>
          <w:lang w:val="es-ES_tradnl"/>
        </w:rPr>
        <w:t xml:space="preserve"> </w:t>
      </w:r>
      <w:r w:rsidR="001E68A9" w:rsidRPr="000A692A">
        <w:rPr>
          <w:lang w:val="es-ES_tradnl"/>
        </w:rPr>
        <w:t>»</w:t>
      </w:r>
      <w:r w:rsidR="00D71E67" w:rsidRPr="00F114E3">
        <w:rPr>
          <w:rFonts w:eastAsiaTheme="minorEastAsia"/>
          <w:bCs/>
        </w:rPr>
        <w:t xml:space="preserve">. En </w:t>
      </w:r>
      <w:r w:rsidR="00F14D82" w:rsidRPr="00F114E3">
        <w:rPr>
          <w:rFonts w:eastAsiaTheme="minorEastAsia"/>
          <w:bCs/>
        </w:rPr>
        <w:t xml:space="preserve">J. </w:t>
      </w:r>
      <w:r w:rsidR="00C501B1" w:rsidRPr="00F114E3">
        <w:rPr>
          <w:rFonts w:eastAsiaTheme="minorEastAsia"/>
          <w:bCs/>
        </w:rPr>
        <w:t>A</w:t>
      </w:r>
      <w:r w:rsidR="00F14D82" w:rsidRPr="00F114E3">
        <w:rPr>
          <w:rFonts w:eastAsiaTheme="minorEastAsia"/>
          <w:bCs/>
        </w:rPr>
        <w:t xml:space="preserve">gustí </w:t>
      </w:r>
      <w:proofErr w:type="spellStart"/>
      <w:r w:rsidR="00F14D82" w:rsidRPr="00F114E3">
        <w:rPr>
          <w:rFonts w:eastAsiaTheme="minorEastAsia"/>
          <w:bCs/>
        </w:rPr>
        <w:t>Julià</w:t>
      </w:r>
      <w:proofErr w:type="spellEnd"/>
      <w:r w:rsidR="00F14D82" w:rsidRPr="00F114E3">
        <w:rPr>
          <w:rFonts w:eastAsiaTheme="minorEastAsia"/>
          <w:bCs/>
        </w:rPr>
        <w:t xml:space="preserve"> </w:t>
      </w:r>
      <w:r w:rsidR="00C501B1" w:rsidRPr="00F114E3">
        <w:rPr>
          <w:rFonts w:eastAsiaTheme="minorEastAsia"/>
          <w:bCs/>
        </w:rPr>
        <w:t xml:space="preserve">y </w:t>
      </w:r>
      <w:r w:rsidR="00F14D82" w:rsidRPr="00F114E3">
        <w:rPr>
          <w:rFonts w:eastAsiaTheme="minorEastAsia"/>
          <w:bCs/>
        </w:rPr>
        <w:t xml:space="preserve">N. </w:t>
      </w:r>
      <w:r w:rsidR="00C501B1" w:rsidRPr="00F114E3">
        <w:rPr>
          <w:rFonts w:eastAsiaTheme="minorEastAsia"/>
          <w:bCs/>
        </w:rPr>
        <w:t>P</w:t>
      </w:r>
      <w:r w:rsidR="00F14D82" w:rsidRPr="00F114E3">
        <w:rPr>
          <w:rFonts w:eastAsiaTheme="minorEastAsia"/>
          <w:bCs/>
        </w:rPr>
        <w:t xml:space="preserve">umar Beltrán </w:t>
      </w:r>
      <w:r w:rsidR="00C501B1" w:rsidRPr="00F114E3">
        <w:rPr>
          <w:rFonts w:eastAsiaTheme="minorEastAsia"/>
          <w:bCs/>
        </w:rPr>
        <w:t xml:space="preserve">(Coord.), </w:t>
      </w:r>
      <w:r w:rsidR="00D71E67" w:rsidRPr="00F114E3">
        <w:rPr>
          <w:rFonts w:eastAsiaTheme="minorEastAsia"/>
          <w:bCs/>
          <w:i/>
        </w:rPr>
        <w:t>El trabajo por cuenta ajena y sus fronteras</w:t>
      </w:r>
      <w:r w:rsidR="00D71E67" w:rsidRPr="00F114E3">
        <w:rPr>
          <w:rFonts w:eastAsiaTheme="minorEastAsia"/>
          <w:bCs/>
        </w:rPr>
        <w:t xml:space="preserve">. Editorial </w:t>
      </w:r>
      <w:proofErr w:type="spellStart"/>
      <w:r w:rsidR="00D71E67" w:rsidRPr="00F114E3">
        <w:rPr>
          <w:rFonts w:eastAsiaTheme="minorEastAsia"/>
          <w:bCs/>
        </w:rPr>
        <w:t>Bomarzo</w:t>
      </w:r>
      <w:proofErr w:type="spellEnd"/>
      <w:r w:rsidR="00D71E67" w:rsidRPr="00F114E3">
        <w:rPr>
          <w:rFonts w:eastAsiaTheme="minorEastAsia"/>
          <w:bCs/>
        </w:rPr>
        <w:t>, Albacete.</w:t>
      </w:r>
    </w:p>
    <w:p w:rsidR="00B215B6" w:rsidRPr="00DD5B3A" w:rsidRDefault="00B03237" w:rsidP="00B03237">
      <w:pPr>
        <w:pStyle w:val="Pargrafdellista"/>
        <w:numPr>
          <w:ilvl w:val="0"/>
          <w:numId w:val="7"/>
        </w:numPr>
        <w:tabs>
          <w:tab w:val="clear" w:pos="3420"/>
        </w:tabs>
        <w:adjustRightInd w:val="0"/>
        <w:spacing w:line="240" w:lineRule="auto"/>
        <w:rPr>
          <w:rFonts w:eastAsiaTheme="minorEastAsia"/>
          <w:b/>
          <w:bCs/>
          <w:lang w:val="en-US"/>
        </w:rPr>
      </w:pPr>
      <w:r>
        <w:rPr>
          <w:rFonts w:eastAsiaTheme="minorEastAsia"/>
          <w:bCs/>
          <w:lang w:val="en-US"/>
        </w:rPr>
        <w:t xml:space="preserve">L. </w:t>
      </w:r>
      <w:proofErr w:type="spellStart"/>
      <w:r>
        <w:rPr>
          <w:rFonts w:eastAsiaTheme="minorEastAsia"/>
          <w:bCs/>
          <w:lang w:val="en-US"/>
        </w:rPr>
        <w:t>Edlund</w:t>
      </w:r>
      <w:proofErr w:type="spellEnd"/>
      <w:r>
        <w:rPr>
          <w:rFonts w:eastAsiaTheme="minorEastAsia"/>
          <w:bCs/>
          <w:lang w:val="en-US"/>
        </w:rPr>
        <w:t xml:space="preserve"> </w:t>
      </w:r>
      <w:r w:rsidR="00B215B6" w:rsidRPr="000A692A">
        <w:rPr>
          <w:rFonts w:eastAsiaTheme="minorEastAsia"/>
          <w:bCs/>
          <w:lang w:val="en-US"/>
        </w:rPr>
        <w:t xml:space="preserve">y </w:t>
      </w:r>
      <w:r>
        <w:rPr>
          <w:rFonts w:eastAsiaTheme="minorEastAsia"/>
          <w:bCs/>
          <w:lang w:val="en-US"/>
        </w:rPr>
        <w:t xml:space="preserve">E. </w:t>
      </w:r>
      <w:proofErr w:type="spellStart"/>
      <w:r>
        <w:rPr>
          <w:rFonts w:eastAsiaTheme="minorEastAsia"/>
          <w:bCs/>
          <w:lang w:val="en-US"/>
        </w:rPr>
        <w:t>Korn</w:t>
      </w:r>
      <w:proofErr w:type="spellEnd"/>
      <w:r>
        <w:rPr>
          <w:rFonts w:eastAsiaTheme="minorEastAsia"/>
          <w:bCs/>
          <w:lang w:val="en-US"/>
        </w:rPr>
        <w:t xml:space="preserve"> </w:t>
      </w:r>
      <w:r w:rsidR="00B215B6" w:rsidRPr="000A692A">
        <w:rPr>
          <w:rFonts w:eastAsiaTheme="minorEastAsia"/>
          <w:bCs/>
          <w:lang w:val="en-US"/>
        </w:rPr>
        <w:t>(2002).</w:t>
      </w:r>
      <w:r w:rsidR="00B215B6" w:rsidRPr="000A692A">
        <w:rPr>
          <w:rFonts w:eastAsiaTheme="minorEastAsia"/>
          <w:b/>
          <w:bCs/>
          <w:lang w:val="en-US"/>
        </w:rPr>
        <w:t xml:space="preserve"> </w:t>
      </w:r>
      <w:r w:rsidR="00F17CF5" w:rsidRPr="000A692A">
        <w:rPr>
          <w:lang w:val="en-US"/>
        </w:rPr>
        <w:t>«</w:t>
      </w:r>
      <w:r w:rsidR="00B215B6" w:rsidRPr="000A692A">
        <w:rPr>
          <w:rFonts w:eastAsiaTheme="minorEastAsia"/>
          <w:lang w:val="en-US"/>
        </w:rPr>
        <w:t>A Theory of Prostitution</w:t>
      </w:r>
      <w:r w:rsidR="00F17CF5" w:rsidRPr="000A692A">
        <w:rPr>
          <w:lang w:val="en-US"/>
        </w:rPr>
        <w:t>»</w:t>
      </w:r>
      <w:r w:rsidR="00B215B6" w:rsidRPr="000A692A">
        <w:rPr>
          <w:rFonts w:eastAsiaTheme="minorEastAsia"/>
          <w:bCs/>
          <w:lang w:val="en-US"/>
        </w:rPr>
        <w:t>.</w:t>
      </w:r>
      <w:r w:rsidR="00B215B6" w:rsidRPr="000A692A">
        <w:rPr>
          <w:rFonts w:eastAsiaTheme="minorEastAsia"/>
          <w:bCs/>
          <w:i/>
          <w:lang w:val="en-US"/>
        </w:rPr>
        <w:t xml:space="preserve"> </w:t>
      </w:r>
      <w:r w:rsidR="00B215B6" w:rsidRPr="00DD5B3A">
        <w:rPr>
          <w:rFonts w:eastAsiaTheme="minorEastAsia"/>
          <w:bCs/>
          <w:i/>
          <w:lang w:val="en-US"/>
        </w:rPr>
        <w:t>Journal of Political Economy.</w:t>
      </w:r>
      <w:r w:rsidR="00B215B6" w:rsidRPr="00DD5B3A">
        <w:rPr>
          <w:rFonts w:eastAsiaTheme="minorEastAsia"/>
          <w:b/>
          <w:bCs/>
          <w:lang w:val="en-US"/>
        </w:rPr>
        <w:t xml:space="preserve"> </w:t>
      </w:r>
    </w:p>
    <w:p w:rsidR="00F84108" w:rsidRPr="00F84108" w:rsidRDefault="00F84108" w:rsidP="002635FE">
      <w:pPr>
        <w:pStyle w:val="Pargrafdellista"/>
        <w:numPr>
          <w:ilvl w:val="0"/>
          <w:numId w:val="7"/>
        </w:numPr>
        <w:spacing w:line="240" w:lineRule="auto"/>
        <w:rPr>
          <w:rFonts w:eastAsiaTheme="minorEastAsia"/>
          <w:lang w:val="en-US"/>
        </w:rPr>
      </w:pPr>
      <w:r w:rsidRPr="00DD5B3A">
        <w:rPr>
          <w:rFonts w:eastAsiaTheme="minorEastAsia"/>
        </w:rPr>
        <w:t xml:space="preserve">C. Gala Durán (2008). </w:t>
      </w:r>
      <w:r w:rsidRPr="00DD5B3A">
        <w:rPr>
          <w:rFonts w:eastAsiaTheme="minorEastAsia"/>
          <w:i/>
        </w:rPr>
        <w:t>Una aproximación, desde l</w:t>
      </w:r>
      <w:r w:rsidR="007E5F0B" w:rsidRPr="00DD5B3A">
        <w:rPr>
          <w:rFonts w:eastAsiaTheme="minorEastAsia"/>
          <w:i/>
        </w:rPr>
        <w:t xml:space="preserve">a perspectiva jurídico-laboral, </w:t>
      </w:r>
      <w:r w:rsidRPr="00DD5B3A">
        <w:rPr>
          <w:rFonts w:eastAsiaTheme="minorEastAsia"/>
          <w:i/>
        </w:rPr>
        <w:t>a la regulación de la prostitución</w:t>
      </w:r>
      <w:r w:rsidRPr="00DD5B3A">
        <w:rPr>
          <w:rFonts w:eastAsiaTheme="minorEastAsia"/>
        </w:rPr>
        <w:t xml:space="preserve">. </w:t>
      </w:r>
      <w:hyperlink r:id="rId8" w:history="1">
        <w:r w:rsidRPr="00D50C93">
          <w:rPr>
            <w:rStyle w:val="Enlla"/>
            <w:rFonts w:eastAsiaTheme="minorEastAsia"/>
            <w:lang w:val="en-US"/>
          </w:rPr>
          <w:t>www.pensamientocrítico.org</w:t>
        </w:r>
      </w:hyperlink>
      <w:r>
        <w:rPr>
          <w:rFonts w:eastAsiaTheme="minorEastAsia"/>
          <w:lang w:val="en-US"/>
        </w:rPr>
        <w:t xml:space="preserve"> </w:t>
      </w:r>
      <w:r w:rsidRPr="00F84108">
        <w:rPr>
          <w:rFonts w:eastAsiaTheme="minorEastAsia"/>
          <w:lang w:val="en-US"/>
        </w:rPr>
        <w:t>(</w:t>
      </w:r>
      <w:proofErr w:type="spellStart"/>
      <w:r w:rsidRPr="00F84108">
        <w:rPr>
          <w:rFonts w:eastAsiaTheme="minorEastAsia"/>
          <w:lang w:val="en-US"/>
        </w:rPr>
        <w:t>última</w:t>
      </w:r>
      <w:proofErr w:type="spellEnd"/>
      <w:r w:rsidRPr="00F84108">
        <w:rPr>
          <w:rFonts w:eastAsiaTheme="minorEastAsia"/>
          <w:lang w:val="en-US"/>
        </w:rPr>
        <w:t xml:space="preserve"> </w:t>
      </w:r>
      <w:proofErr w:type="spellStart"/>
      <w:r w:rsidRPr="00F84108">
        <w:rPr>
          <w:rFonts w:eastAsiaTheme="minorEastAsia"/>
          <w:lang w:val="en-US"/>
        </w:rPr>
        <w:t>consulta</w:t>
      </w:r>
      <w:proofErr w:type="spellEnd"/>
      <w:r w:rsidRPr="00F84108">
        <w:rPr>
          <w:rFonts w:eastAsiaTheme="minorEastAsia"/>
          <w:lang w:val="en-US"/>
        </w:rPr>
        <w:t>: 02/04/2014).</w:t>
      </w:r>
    </w:p>
    <w:p w:rsidR="002635FE" w:rsidRPr="002635FE" w:rsidRDefault="00D47DCF" w:rsidP="002635FE">
      <w:pPr>
        <w:pStyle w:val="Pargrafdellista"/>
        <w:numPr>
          <w:ilvl w:val="0"/>
          <w:numId w:val="7"/>
        </w:numPr>
        <w:spacing w:line="240" w:lineRule="auto"/>
        <w:rPr>
          <w:rFonts w:eastAsiaTheme="minorEastAsia"/>
          <w:lang w:val="en-US"/>
        </w:rPr>
      </w:pPr>
      <w:r>
        <w:rPr>
          <w:rFonts w:eastAsiaTheme="minorEastAsia"/>
        </w:rPr>
        <w:t xml:space="preserve">J. L. </w:t>
      </w:r>
      <w:proofErr w:type="spellStart"/>
      <w:r w:rsidR="002635FE">
        <w:rPr>
          <w:rFonts w:eastAsiaTheme="minorEastAsia"/>
        </w:rPr>
        <w:t>G</w:t>
      </w:r>
      <w:r>
        <w:rPr>
          <w:rFonts w:eastAsiaTheme="minorEastAsia"/>
        </w:rPr>
        <w:t>oñi</w:t>
      </w:r>
      <w:proofErr w:type="spellEnd"/>
      <w:r>
        <w:rPr>
          <w:rFonts w:eastAsiaTheme="minorEastAsia"/>
        </w:rPr>
        <w:t xml:space="preserve"> </w:t>
      </w:r>
      <w:proofErr w:type="spellStart"/>
      <w:r>
        <w:rPr>
          <w:rFonts w:eastAsiaTheme="minorEastAsia"/>
        </w:rPr>
        <w:t>Sein</w:t>
      </w:r>
      <w:proofErr w:type="spellEnd"/>
      <w:r>
        <w:rPr>
          <w:rFonts w:eastAsiaTheme="minorEastAsia"/>
        </w:rPr>
        <w:t xml:space="preserve"> </w:t>
      </w:r>
      <w:r w:rsidR="002635FE">
        <w:rPr>
          <w:rFonts w:eastAsiaTheme="minorEastAsia"/>
        </w:rPr>
        <w:t xml:space="preserve">(2014). </w:t>
      </w:r>
      <w:r w:rsidR="002635FE" w:rsidRPr="002635FE">
        <w:rPr>
          <w:rFonts w:eastAsiaTheme="minorEastAsia"/>
          <w:i/>
        </w:rPr>
        <w:t>Los derechos fundamentales inespecíficos en la relación de trabajo individual: ¿necesidad de una reformulación?</w:t>
      </w:r>
      <w:r w:rsidR="002635FE">
        <w:rPr>
          <w:rFonts w:eastAsiaTheme="minorEastAsia"/>
        </w:rPr>
        <w:t xml:space="preserve"> Ponencia al XXIV Congreso Nacional de la AEDTSS.</w:t>
      </w:r>
    </w:p>
    <w:p w:rsidR="002635FE" w:rsidRPr="00DD5B3A" w:rsidRDefault="00C15A56" w:rsidP="002635FE">
      <w:pPr>
        <w:pStyle w:val="Pargrafdellista"/>
        <w:spacing w:line="240" w:lineRule="auto"/>
        <w:ind w:left="360"/>
        <w:rPr>
          <w:rFonts w:eastAsiaTheme="minorEastAsia"/>
        </w:rPr>
      </w:pPr>
      <w:hyperlink r:id="rId9" w:history="1">
        <w:r w:rsidR="002635FE" w:rsidRPr="00D50C93">
          <w:rPr>
            <w:rStyle w:val="Enlla"/>
            <w:rFonts w:eastAsiaTheme="minorEastAsia"/>
          </w:rPr>
          <w:t>http://aedtss.com/images/stories/documentos/XXIII_Congreso_Nacional/01_Jose_Luis_Goñi.pdf</w:t>
        </w:r>
      </w:hyperlink>
      <w:r w:rsidR="002635FE">
        <w:rPr>
          <w:rFonts w:eastAsiaTheme="minorEastAsia"/>
        </w:rPr>
        <w:t xml:space="preserve"> (última consulta: 01/04/2014).</w:t>
      </w:r>
    </w:p>
    <w:p w:rsidR="00767C6F" w:rsidRPr="000A692A" w:rsidRDefault="00F84108" w:rsidP="00E370D4">
      <w:pPr>
        <w:pStyle w:val="Pargrafdellista"/>
        <w:numPr>
          <w:ilvl w:val="0"/>
          <w:numId w:val="7"/>
        </w:numPr>
        <w:spacing w:line="240" w:lineRule="auto"/>
        <w:rPr>
          <w:rFonts w:eastAsiaTheme="minorEastAsia"/>
        </w:rPr>
      </w:pPr>
      <w:r>
        <w:rPr>
          <w:smallCaps/>
        </w:rPr>
        <w:t xml:space="preserve">M. A. </w:t>
      </w:r>
      <w:r w:rsidR="00B03237">
        <w:t>Martínez-Echevarría y O</w:t>
      </w:r>
      <w:r w:rsidR="00B03237" w:rsidRPr="00B03237">
        <w:t>rtega</w:t>
      </w:r>
      <w:r w:rsidR="00767C6F" w:rsidRPr="000A692A">
        <w:t xml:space="preserve"> (1991). </w:t>
      </w:r>
      <w:r w:rsidR="00767C6F" w:rsidRPr="000A692A">
        <w:rPr>
          <w:i/>
        </w:rPr>
        <w:t>La metodología neoclásica y el Análisis Económico del Derecho</w:t>
      </w:r>
      <w:r w:rsidR="00767C6F" w:rsidRPr="000A692A">
        <w:t>. Publicaciones de la Real Academia de Ciencias Económicas y Financieras. Barcelona.</w:t>
      </w:r>
    </w:p>
    <w:p w:rsidR="00F114E3" w:rsidRPr="00F114E3" w:rsidRDefault="00F114E3" w:rsidP="00E370D4">
      <w:pPr>
        <w:pStyle w:val="Pargrafdellista"/>
        <w:numPr>
          <w:ilvl w:val="0"/>
          <w:numId w:val="7"/>
        </w:numPr>
        <w:spacing w:line="240" w:lineRule="auto"/>
      </w:pPr>
      <w:r>
        <w:t xml:space="preserve">A. Montoya </w:t>
      </w:r>
      <w:proofErr w:type="spellStart"/>
      <w:r>
        <w:t>Megar</w:t>
      </w:r>
      <w:proofErr w:type="spellEnd"/>
      <w:r>
        <w:t xml:space="preserve"> (2006). </w:t>
      </w:r>
      <w:r w:rsidRPr="000A692A">
        <w:rPr>
          <w:lang w:val="es-ES_tradnl"/>
        </w:rPr>
        <w:t>«</w:t>
      </w:r>
      <w:r w:rsidRPr="00F114E3">
        <w:t>El ámbito personal del derecho del trabajo: tendencias actuales</w:t>
      </w:r>
      <w:r w:rsidRPr="000A692A">
        <w:rPr>
          <w:lang w:val="es-ES_tradnl"/>
        </w:rPr>
        <w:t>»</w:t>
      </w:r>
      <w:r w:rsidRPr="00F114E3">
        <w:t xml:space="preserve">. </w:t>
      </w:r>
      <w:r w:rsidRPr="00F114E3">
        <w:rPr>
          <w:i/>
        </w:rPr>
        <w:t>Aranzadi Social</w:t>
      </w:r>
      <w:r w:rsidRPr="00F114E3">
        <w:t>, núm. 3, versión digital (BIB 2006\636).</w:t>
      </w:r>
    </w:p>
    <w:p w:rsidR="008B3FE1" w:rsidRPr="000A692A" w:rsidRDefault="00B03237" w:rsidP="00E370D4">
      <w:pPr>
        <w:pStyle w:val="Pargrafdellista"/>
        <w:numPr>
          <w:ilvl w:val="0"/>
          <w:numId w:val="7"/>
        </w:numPr>
        <w:tabs>
          <w:tab w:val="clear" w:pos="3420"/>
        </w:tabs>
        <w:autoSpaceDE/>
        <w:autoSpaceDN/>
        <w:spacing w:line="240" w:lineRule="auto"/>
      </w:pPr>
      <w:r>
        <w:rPr>
          <w:bCs/>
          <w:smallCaps/>
        </w:rPr>
        <w:lastRenderedPageBreak/>
        <w:t xml:space="preserve">C. </w:t>
      </w:r>
      <w:r>
        <w:t xml:space="preserve">Paz-Ares </w:t>
      </w:r>
      <w:r w:rsidR="008B3FE1" w:rsidRPr="000A692A">
        <w:t xml:space="preserve">(1981). </w:t>
      </w:r>
      <w:r w:rsidR="00F17CF5" w:rsidRPr="000A692A">
        <w:rPr>
          <w:lang w:val="es-ES_tradnl"/>
        </w:rPr>
        <w:t>«</w:t>
      </w:r>
      <w:r w:rsidR="008B3FE1" w:rsidRPr="000A692A">
        <w:t>La economía política como jurisprudencia racional</w:t>
      </w:r>
      <w:r w:rsidR="00F17CF5" w:rsidRPr="000A692A">
        <w:rPr>
          <w:lang w:val="es-ES_tradnl"/>
        </w:rPr>
        <w:t>»</w:t>
      </w:r>
      <w:r w:rsidR="008B3FE1" w:rsidRPr="000A692A">
        <w:t xml:space="preserve">. </w:t>
      </w:r>
      <w:r w:rsidR="008B3FE1" w:rsidRPr="000A692A">
        <w:rPr>
          <w:i/>
        </w:rPr>
        <w:t>Anuario de Derecho Civil.</w:t>
      </w:r>
      <w:r w:rsidR="008B3FE1" w:rsidRPr="000A692A">
        <w:t xml:space="preserve"> </w:t>
      </w:r>
    </w:p>
    <w:p w:rsidR="00630741" w:rsidRPr="000A692A" w:rsidRDefault="00D47DCF" w:rsidP="00E370D4">
      <w:pPr>
        <w:pStyle w:val="Pargrafdellista"/>
        <w:numPr>
          <w:ilvl w:val="0"/>
          <w:numId w:val="7"/>
        </w:numPr>
        <w:spacing w:line="240" w:lineRule="auto"/>
        <w:rPr>
          <w:rFonts w:eastAsiaTheme="minorEastAsia"/>
          <w:lang w:val="en-US"/>
        </w:rPr>
      </w:pPr>
      <w:r>
        <w:rPr>
          <w:rFonts w:eastAsiaTheme="minorEastAsia"/>
          <w:lang w:val="en-US"/>
        </w:rPr>
        <w:t xml:space="preserve">R. </w:t>
      </w:r>
      <w:r w:rsidR="00B03237">
        <w:rPr>
          <w:rFonts w:eastAsiaTheme="minorEastAsia"/>
          <w:lang w:val="en-US"/>
        </w:rPr>
        <w:t xml:space="preserve">A. </w:t>
      </w:r>
      <w:r>
        <w:rPr>
          <w:rFonts w:eastAsiaTheme="minorEastAsia"/>
          <w:lang w:val="en-US"/>
        </w:rPr>
        <w:t xml:space="preserve">Posner </w:t>
      </w:r>
      <w:r w:rsidR="00630741" w:rsidRPr="000A692A">
        <w:rPr>
          <w:rFonts w:eastAsiaTheme="minorEastAsia"/>
          <w:lang w:val="en-US"/>
        </w:rPr>
        <w:t xml:space="preserve">(1992). </w:t>
      </w:r>
      <w:r w:rsidR="00630741" w:rsidRPr="000A692A">
        <w:rPr>
          <w:rFonts w:eastAsiaTheme="minorEastAsia"/>
          <w:i/>
          <w:lang w:val="en-US"/>
        </w:rPr>
        <w:t>Sex and Reason</w:t>
      </w:r>
      <w:r w:rsidR="00630741" w:rsidRPr="000A692A">
        <w:rPr>
          <w:rFonts w:eastAsiaTheme="minorEastAsia"/>
          <w:lang w:val="en-US"/>
        </w:rPr>
        <w:t xml:space="preserve">. Harvard University Press, Cambridge. </w:t>
      </w:r>
    </w:p>
    <w:p w:rsidR="00630741" w:rsidRPr="000A692A" w:rsidRDefault="00D47DCF" w:rsidP="00E370D4">
      <w:pPr>
        <w:pStyle w:val="Pargrafdellista"/>
        <w:numPr>
          <w:ilvl w:val="0"/>
          <w:numId w:val="7"/>
        </w:numPr>
        <w:spacing w:line="240" w:lineRule="auto"/>
      </w:pPr>
      <w:r>
        <w:rPr>
          <w:bCs/>
          <w:smallCaps/>
        </w:rPr>
        <w:t xml:space="preserve">R. </w:t>
      </w:r>
      <w:r w:rsidR="00B03237">
        <w:rPr>
          <w:bCs/>
          <w:smallCaps/>
        </w:rPr>
        <w:t xml:space="preserve">A. </w:t>
      </w:r>
      <w:proofErr w:type="spellStart"/>
      <w:r w:rsidRPr="00DD5B3A">
        <w:rPr>
          <w:rFonts w:eastAsiaTheme="minorEastAsia"/>
        </w:rPr>
        <w:t>Posner</w:t>
      </w:r>
      <w:proofErr w:type="spellEnd"/>
      <w:r w:rsidRPr="00DD5B3A">
        <w:rPr>
          <w:rFonts w:eastAsiaTheme="minorEastAsia"/>
        </w:rPr>
        <w:t xml:space="preserve"> (</w:t>
      </w:r>
      <w:r w:rsidR="00945CA5" w:rsidRPr="000A692A">
        <w:rPr>
          <w:smallCaps/>
        </w:rPr>
        <w:t>1998)</w:t>
      </w:r>
      <w:r w:rsidR="00945CA5" w:rsidRPr="000A692A">
        <w:t xml:space="preserve">. </w:t>
      </w:r>
      <w:r w:rsidR="00945CA5" w:rsidRPr="000A692A">
        <w:rPr>
          <w:i/>
        </w:rPr>
        <w:t>El análisis económico del derecho</w:t>
      </w:r>
      <w:r w:rsidR="00945CA5" w:rsidRPr="000A692A">
        <w:t>. Fondo de Cultura Económica. México.</w:t>
      </w:r>
    </w:p>
    <w:p w:rsidR="00945CA5" w:rsidRPr="000A692A" w:rsidRDefault="00D47DCF" w:rsidP="00E370D4">
      <w:pPr>
        <w:pStyle w:val="Pargrafdellista"/>
        <w:numPr>
          <w:ilvl w:val="0"/>
          <w:numId w:val="7"/>
        </w:numPr>
        <w:spacing w:line="240" w:lineRule="auto"/>
        <w:rPr>
          <w:lang w:val="en-US"/>
        </w:rPr>
      </w:pPr>
      <w:r w:rsidRPr="00DD5B3A">
        <w:rPr>
          <w:rFonts w:eastAsiaTheme="minorEastAsia"/>
        </w:rPr>
        <w:t xml:space="preserve">R. </w:t>
      </w:r>
      <w:proofErr w:type="spellStart"/>
      <w:r w:rsidRPr="00DD5B3A">
        <w:rPr>
          <w:rFonts w:eastAsiaTheme="minorEastAsia"/>
        </w:rPr>
        <w:t>Posner</w:t>
      </w:r>
      <w:proofErr w:type="spellEnd"/>
      <w:r w:rsidRPr="00DD5B3A">
        <w:rPr>
          <w:rFonts w:eastAsiaTheme="minorEastAsia"/>
        </w:rPr>
        <w:t xml:space="preserve"> </w:t>
      </w:r>
      <w:r w:rsidR="00630741" w:rsidRPr="00DD5B3A">
        <w:rPr>
          <w:rFonts w:eastAsiaTheme="minorEastAsia"/>
        </w:rPr>
        <w:t xml:space="preserve">y </w:t>
      </w:r>
      <w:r w:rsidR="00B03237" w:rsidRPr="00DD5B3A">
        <w:rPr>
          <w:rFonts w:eastAsiaTheme="minorEastAsia"/>
        </w:rPr>
        <w:t xml:space="preserve">K. B. </w:t>
      </w:r>
      <w:proofErr w:type="spellStart"/>
      <w:r w:rsidR="00B03237" w:rsidRPr="00DD5B3A">
        <w:rPr>
          <w:rFonts w:eastAsiaTheme="minorEastAsia"/>
        </w:rPr>
        <w:t>Silbaugh</w:t>
      </w:r>
      <w:proofErr w:type="spellEnd"/>
      <w:r w:rsidR="00B03237" w:rsidRPr="00DD5B3A">
        <w:rPr>
          <w:rFonts w:eastAsiaTheme="minorEastAsia"/>
        </w:rPr>
        <w:t xml:space="preserve"> </w:t>
      </w:r>
      <w:r w:rsidR="00630741" w:rsidRPr="00DD5B3A">
        <w:rPr>
          <w:rFonts w:eastAsiaTheme="minorEastAsia"/>
        </w:rPr>
        <w:t xml:space="preserve">(1996). </w:t>
      </w:r>
      <w:r w:rsidR="00630741" w:rsidRPr="000A692A">
        <w:rPr>
          <w:rFonts w:eastAsiaTheme="minorEastAsia"/>
          <w:i/>
          <w:lang w:val="en-US"/>
        </w:rPr>
        <w:t>A Guide to America’s Sex Laws</w:t>
      </w:r>
      <w:r w:rsidR="00630741" w:rsidRPr="000A692A">
        <w:rPr>
          <w:rFonts w:eastAsiaTheme="minorEastAsia"/>
          <w:lang w:val="en-US"/>
        </w:rPr>
        <w:t>. University of Chicago Press, Chicago.</w:t>
      </w:r>
    </w:p>
    <w:p w:rsidR="00C501B1" w:rsidRPr="009C2E0C" w:rsidRDefault="009C2E0C" w:rsidP="00E370D4">
      <w:pPr>
        <w:pStyle w:val="Pargrafdellista"/>
        <w:numPr>
          <w:ilvl w:val="0"/>
          <w:numId w:val="7"/>
        </w:numPr>
        <w:spacing w:line="240" w:lineRule="auto"/>
        <w:rPr>
          <w:rFonts w:eastAsiaTheme="minorEastAsia"/>
        </w:rPr>
      </w:pPr>
      <w:r w:rsidRPr="009C2E0C">
        <w:rPr>
          <w:rFonts w:eastAsiaTheme="minorEastAsia"/>
        </w:rPr>
        <w:t xml:space="preserve">G. Poyatos Matas </w:t>
      </w:r>
      <w:r w:rsidR="00C501B1" w:rsidRPr="009C2E0C">
        <w:rPr>
          <w:rFonts w:eastAsiaTheme="minorEastAsia"/>
        </w:rPr>
        <w:t xml:space="preserve">(2009). </w:t>
      </w:r>
      <w:r w:rsidR="00C501B1" w:rsidRPr="009C2E0C">
        <w:rPr>
          <w:lang w:val="es-ES_tradnl"/>
        </w:rPr>
        <w:t>«</w:t>
      </w:r>
      <w:r w:rsidR="00C501B1" w:rsidRPr="009C2E0C">
        <w:rPr>
          <w:rFonts w:eastAsiaTheme="minorEastAsia"/>
        </w:rPr>
        <w:t>La prostitución como trabajo autónomo</w:t>
      </w:r>
      <w:r w:rsidR="00C501B1" w:rsidRPr="009C2E0C">
        <w:rPr>
          <w:lang w:val="es-ES_tradnl"/>
        </w:rPr>
        <w:t>»</w:t>
      </w:r>
      <w:r w:rsidR="00C501B1" w:rsidRPr="009C2E0C">
        <w:rPr>
          <w:rFonts w:eastAsiaTheme="minorEastAsia"/>
        </w:rPr>
        <w:t xml:space="preserve">. </w:t>
      </w:r>
      <w:r w:rsidR="00D47DCF" w:rsidRPr="009C2E0C">
        <w:rPr>
          <w:rFonts w:eastAsiaTheme="minorEastAsia"/>
          <w:bCs/>
        </w:rPr>
        <w:t xml:space="preserve">En J. Agustí </w:t>
      </w:r>
      <w:proofErr w:type="spellStart"/>
      <w:r w:rsidR="00D47DCF" w:rsidRPr="009C2E0C">
        <w:rPr>
          <w:rFonts w:eastAsiaTheme="minorEastAsia"/>
          <w:bCs/>
        </w:rPr>
        <w:t>Julià</w:t>
      </w:r>
      <w:proofErr w:type="spellEnd"/>
      <w:r w:rsidR="00D47DCF" w:rsidRPr="009C2E0C">
        <w:rPr>
          <w:rFonts w:eastAsiaTheme="minorEastAsia"/>
          <w:bCs/>
        </w:rPr>
        <w:t xml:space="preserve"> y N. Pumar Beltrán (Coord.), </w:t>
      </w:r>
      <w:r w:rsidR="00D47DCF" w:rsidRPr="009C2E0C">
        <w:rPr>
          <w:rFonts w:eastAsiaTheme="minorEastAsia"/>
          <w:bCs/>
          <w:i/>
        </w:rPr>
        <w:t>El trabajo por cuenta ajena y sus fronteras</w:t>
      </w:r>
      <w:r w:rsidR="00D47DCF" w:rsidRPr="009C2E0C">
        <w:rPr>
          <w:rFonts w:eastAsiaTheme="minorEastAsia"/>
          <w:bCs/>
        </w:rPr>
        <w:t xml:space="preserve">. Editorial </w:t>
      </w:r>
      <w:proofErr w:type="spellStart"/>
      <w:r w:rsidR="00D47DCF" w:rsidRPr="009C2E0C">
        <w:rPr>
          <w:rFonts w:eastAsiaTheme="minorEastAsia"/>
          <w:bCs/>
        </w:rPr>
        <w:t>Bomarzo</w:t>
      </w:r>
      <w:proofErr w:type="spellEnd"/>
      <w:r w:rsidR="00D47DCF" w:rsidRPr="009C2E0C">
        <w:rPr>
          <w:rFonts w:eastAsiaTheme="minorEastAsia"/>
          <w:bCs/>
        </w:rPr>
        <w:t>, Albacete.</w:t>
      </w:r>
    </w:p>
    <w:p w:rsidR="00630741" w:rsidRPr="000A692A" w:rsidRDefault="00B03237" w:rsidP="00E370D4">
      <w:pPr>
        <w:pStyle w:val="Pargrafdellista"/>
        <w:numPr>
          <w:ilvl w:val="0"/>
          <w:numId w:val="7"/>
        </w:numPr>
        <w:spacing w:line="240" w:lineRule="auto"/>
        <w:rPr>
          <w:rFonts w:eastAsiaTheme="minorEastAsia"/>
        </w:rPr>
      </w:pPr>
      <w:r>
        <w:rPr>
          <w:rFonts w:eastAsiaTheme="minorEastAsia"/>
        </w:rPr>
        <w:t xml:space="preserve">A. </w:t>
      </w:r>
      <w:proofErr w:type="spellStart"/>
      <w:r w:rsidR="00630741" w:rsidRPr="000A692A">
        <w:rPr>
          <w:rFonts w:eastAsiaTheme="minorEastAsia"/>
        </w:rPr>
        <w:t>R</w:t>
      </w:r>
      <w:r>
        <w:rPr>
          <w:rFonts w:eastAsiaTheme="minorEastAsia"/>
        </w:rPr>
        <w:t>oemer</w:t>
      </w:r>
      <w:proofErr w:type="spellEnd"/>
      <w:r>
        <w:rPr>
          <w:rFonts w:eastAsiaTheme="minorEastAsia"/>
        </w:rPr>
        <w:t xml:space="preserve"> </w:t>
      </w:r>
      <w:r w:rsidR="00630741" w:rsidRPr="000A692A">
        <w:rPr>
          <w:rFonts w:eastAsiaTheme="minorEastAsia"/>
        </w:rPr>
        <w:t xml:space="preserve">(2013). </w:t>
      </w:r>
      <w:r w:rsidR="00630741" w:rsidRPr="000A692A">
        <w:rPr>
          <w:rFonts w:eastAsiaTheme="minorEastAsia"/>
          <w:i/>
        </w:rPr>
        <w:t>Economía del Crimen</w:t>
      </w:r>
      <w:r w:rsidR="00630741" w:rsidRPr="000A692A">
        <w:rPr>
          <w:rFonts w:eastAsiaTheme="minorEastAsia"/>
        </w:rPr>
        <w:t>. Noriega Editores, México.</w:t>
      </w:r>
    </w:p>
    <w:p w:rsidR="00945CA5" w:rsidRPr="000A692A" w:rsidRDefault="00B03237" w:rsidP="00E370D4">
      <w:pPr>
        <w:pStyle w:val="Pargrafdellista"/>
        <w:numPr>
          <w:ilvl w:val="0"/>
          <w:numId w:val="7"/>
        </w:numPr>
        <w:spacing w:line="240" w:lineRule="auto"/>
      </w:pPr>
      <w:r>
        <w:rPr>
          <w:bCs/>
          <w:smallCaps/>
        </w:rPr>
        <w:t xml:space="preserve">A. </w:t>
      </w:r>
      <w:proofErr w:type="spellStart"/>
      <w:r>
        <w:rPr>
          <w:rFonts w:eastAsiaTheme="minorEastAsia"/>
        </w:rPr>
        <w:t>Schooter</w:t>
      </w:r>
      <w:proofErr w:type="spellEnd"/>
      <w:r w:rsidR="00A16627" w:rsidRPr="000A692A">
        <w:rPr>
          <w:b/>
          <w:bCs/>
          <w:smallCaps/>
        </w:rPr>
        <w:t xml:space="preserve"> </w:t>
      </w:r>
      <w:r w:rsidR="00A16627" w:rsidRPr="000A692A">
        <w:t xml:space="preserve">(1987). </w:t>
      </w:r>
      <w:r w:rsidR="00A16627" w:rsidRPr="000A692A">
        <w:rPr>
          <w:i/>
          <w:iCs/>
        </w:rPr>
        <w:t>La economía de libre mercado</w:t>
      </w:r>
      <w:r w:rsidR="00A16627" w:rsidRPr="000A692A">
        <w:t xml:space="preserve">. Ariel, Barcelona. </w:t>
      </w:r>
    </w:p>
    <w:p w:rsidR="00D67640" w:rsidRPr="000A692A" w:rsidRDefault="00B03237" w:rsidP="00E370D4">
      <w:pPr>
        <w:pStyle w:val="Pargrafdellista"/>
        <w:numPr>
          <w:ilvl w:val="0"/>
          <w:numId w:val="7"/>
        </w:numPr>
        <w:spacing w:line="240" w:lineRule="auto"/>
        <w:rPr>
          <w:rFonts w:eastAsiaTheme="minorEastAsia"/>
        </w:rPr>
      </w:pPr>
      <w:r>
        <w:rPr>
          <w:rFonts w:eastAsiaTheme="minorEastAsia"/>
          <w:lang w:val="en-US"/>
        </w:rPr>
        <w:t xml:space="preserve">A. E. Roth </w:t>
      </w:r>
      <w:r w:rsidR="00D67640" w:rsidRPr="000A692A">
        <w:rPr>
          <w:rFonts w:eastAsiaTheme="minorEastAsia"/>
          <w:lang w:val="en-US"/>
        </w:rPr>
        <w:t xml:space="preserve">(2007). </w:t>
      </w:r>
      <w:r w:rsidR="00D67640" w:rsidRPr="000A692A">
        <w:rPr>
          <w:lang w:val="en-US"/>
        </w:rPr>
        <w:t>«</w:t>
      </w:r>
      <w:r w:rsidR="00D67640" w:rsidRPr="000A692A">
        <w:rPr>
          <w:rFonts w:eastAsiaTheme="minorEastAsia"/>
          <w:lang w:val="en-US"/>
        </w:rPr>
        <w:t>Repugnance as a Constraint on Markets</w:t>
      </w:r>
      <w:r w:rsidR="00D67640" w:rsidRPr="000A692A">
        <w:rPr>
          <w:lang w:val="en-US"/>
        </w:rPr>
        <w:t>»</w:t>
      </w:r>
      <w:r w:rsidR="00D67640" w:rsidRPr="000A692A">
        <w:rPr>
          <w:rFonts w:eastAsiaTheme="minorEastAsia"/>
          <w:lang w:val="en-US"/>
        </w:rPr>
        <w:t xml:space="preserve">. </w:t>
      </w:r>
      <w:r w:rsidR="00D67640" w:rsidRPr="000A692A">
        <w:rPr>
          <w:rFonts w:eastAsiaTheme="minorEastAsia"/>
          <w:i/>
          <w:lang w:val="en-US"/>
        </w:rPr>
        <w:t>Journal of Economic Perspectives</w:t>
      </w:r>
      <w:r w:rsidR="00D67640" w:rsidRPr="000A692A">
        <w:rPr>
          <w:rFonts w:eastAsiaTheme="minorEastAsia"/>
          <w:lang w:val="en-US"/>
        </w:rPr>
        <w:t>, American Economic Association, vol. 21(3).</w:t>
      </w:r>
      <w:r w:rsidR="0061064F" w:rsidRPr="000A692A">
        <w:rPr>
          <w:rFonts w:eastAsiaTheme="minorEastAsia"/>
          <w:lang w:val="en-US"/>
        </w:rPr>
        <w:t xml:space="preserve"> </w:t>
      </w:r>
      <w:r w:rsidR="0061064F" w:rsidRPr="000A692A">
        <w:rPr>
          <w:rFonts w:eastAsiaTheme="minorEastAsia"/>
        </w:rPr>
        <w:t>(última consulta: 10/03/14).</w:t>
      </w:r>
    </w:p>
    <w:p w:rsidR="00945CA5" w:rsidRPr="000A692A" w:rsidRDefault="00D47DCF" w:rsidP="00E370D4">
      <w:pPr>
        <w:pStyle w:val="Pargrafdellista"/>
        <w:numPr>
          <w:ilvl w:val="0"/>
          <w:numId w:val="7"/>
        </w:numPr>
        <w:spacing w:line="240" w:lineRule="auto"/>
      </w:pPr>
      <w:r>
        <w:rPr>
          <w:rFonts w:eastAsiaTheme="minorEastAsia"/>
        </w:rPr>
        <w:t xml:space="preserve">A. </w:t>
      </w:r>
      <w:proofErr w:type="spellStart"/>
      <w:r w:rsidR="00945CA5" w:rsidRPr="000A692A">
        <w:rPr>
          <w:rFonts w:eastAsiaTheme="minorEastAsia"/>
        </w:rPr>
        <w:t>S</w:t>
      </w:r>
      <w:r>
        <w:rPr>
          <w:rFonts w:eastAsiaTheme="minorEastAsia"/>
        </w:rPr>
        <w:t>upiot</w:t>
      </w:r>
      <w:proofErr w:type="spellEnd"/>
      <w:r>
        <w:rPr>
          <w:rFonts w:eastAsiaTheme="minorEastAsia"/>
        </w:rPr>
        <w:t xml:space="preserve"> </w:t>
      </w:r>
      <w:r w:rsidR="00945CA5" w:rsidRPr="000A692A">
        <w:rPr>
          <w:rFonts w:eastAsiaTheme="minorEastAsia"/>
        </w:rPr>
        <w:t xml:space="preserve">(1996). </w:t>
      </w:r>
      <w:r w:rsidR="00945CA5" w:rsidRPr="000A692A">
        <w:rPr>
          <w:i/>
          <w:iCs/>
        </w:rPr>
        <w:t>Crítica del Derecho del Trabajo</w:t>
      </w:r>
      <w:r w:rsidR="00945CA5" w:rsidRPr="000A692A">
        <w:t>. MTAS, Madrid.</w:t>
      </w:r>
    </w:p>
    <w:p w:rsidR="008B3FE1" w:rsidRPr="000A692A" w:rsidRDefault="00D47DCF" w:rsidP="00E370D4">
      <w:pPr>
        <w:pStyle w:val="Pargrafdellista"/>
        <w:numPr>
          <w:ilvl w:val="0"/>
          <w:numId w:val="7"/>
        </w:numPr>
        <w:spacing w:line="240" w:lineRule="auto"/>
        <w:rPr>
          <w:rFonts w:eastAsiaTheme="minorEastAsia"/>
        </w:rPr>
      </w:pPr>
      <w:r>
        <w:rPr>
          <w:rFonts w:eastAsiaTheme="minorEastAsia"/>
        </w:rPr>
        <w:t xml:space="preserve">A. </w:t>
      </w:r>
      <w:proofErr w:type="spellStart"/>
      <w:r>
        <w:rPr>
          <w:rFonts w:eastAsiaTheme="minorEastAsia"/>
        </w:rPr>
        <w:t>Supiot</w:t>
      </w:r>
      <w:proofErr w:type="spellEnd"/>
      <w:r>
        <w:rPr>
          <w:rFonts w:eastAsiaTheme="minorEastAsia"/>
        </w:rPr>
        <w:t xml:space="preserve"> </w:t>
      </w:r>
      <w:r w:rsidR="00ED2675" w:rsidRPr="000A692A">
        <w:rPr>
          <w:rFonts w:eastAsiaTheme="minorEastAsia"/>
        </w:rPr>
        <w:t xml:space="preserve">(1999). </w:t>
      </w:r>
      <w:r w:rsidR="00F17CF5" w:rsidRPr="000A692A">
        <w:rPr>
          <w:lang w:val="es-ES_tradnl"/>
        </w:rPr>
        <w:t>«</w:t>
      </w:r>
      <w:r w:rsidR="00ED2675" w:rsidRPr="000A692A">
        <w:rPr>
          <w:rFonts w:eastAsiaTheme="minorEastAsia"/>
        </w:rPr>
        <w:t>Informe francés</w:t>
      </w:r>
      <w:r w:rsidR="00F17CF5" w:rsidRPr="000A692A">
        <w:rPr>
          <w:lang w:val="es-ES_tradnl"/>
        </w:rPr>
        <w:t>»</w:t>
      </w:r>
      <w:r w:rsidR="00ED2675" w:rsidRPr="000A692A">
        <w:rPr>
          <w:rFonts w:eastAsiaTheme="minorEastAsia"/>
        </w:rPr>
        <w:t xml:space="preserve">. En </w:t>
      </w:r>
      <w:r w:rsidR="003933AD">
        <w:rPr>
          <w:rFonts w:eastAsiaTheme="minorEastAsia"/>
        </w:rPr>
        <w:t xml:space="preserve">A. </w:t>
      </w:r>
      <w:r w:rsidR="008B3FE1" w:rsidRPr="000A692A">
        <w:rPr>
          <w:rFonts w:eastAsiaTheme="minorEastAsia"/>
        </w:rPr>
        <w:t>M</w:t>
      </w:r>
      <w:r w:rsidR="003933AD">
        <w:rPr>
          <w:rFonts w:eastAsiaTheme="minorEastAsia"/>
        </w:rPr>
        <w:t xml:space="preserve">arzal Fuentes </w:t>
      </w:r>
      <w:r w:rsidR="00ED2675" w:rsidRPr="000A692A">
        <w:rPr>
          <w:rFonts w:eastAsiaTheme="minorEastAsia"/>
        </w:rPr>
        <w:t xml:space="preserve">(Ed.), </w:t>
      </w:r>
      <w:r w:rsidR="00ED2675" w:rsidRPr="000A692A">
        <w:rPr>
          <w:rFonts w:eastAsiaTheme="minorEastAsia"/>
          <w:i/>
        </w:rPr>
        <w:t>Protección de la salud y Derecho social</w:t>
      </w:r>
      <w:r w:rsidR="00ED2675" w:rsidRPr="000A692A">
        <w:rPr>
          <w:rFonts w:eastAsiaTheme="minorEastAsia"/>
        </w:rPr>
        <w:t>. JM Bosch Editor – ESADE, Barcelona.</w:t>
      </w:r>
    </w:p>
    <w:p w:rsidR="003933AD" w:rsidRDefault="00B03237" w:rsidP="003933AD">
      <w:pPr>
        <w:pStyle w:val="Pargrafdellista"/>
        <w:numPr>
          <w:ilvl w:val="0"/>
          <w:numId w:val="7"/>
        </w:numPr>
        <w:tabs>
          <w:tab w:val="clear" w:pos="3420"/>
        </w:tabs>
        <w:autoSpaceDE/>
        <w:autoSpaceDN/>
        <w:spacing w:line="240" w:lineRule="auto"/>
      </w:pPr>
      <w:r>
        <w:rPr>
          <w:bCs/>
          <w:smallCaps/>
        </w:rPr>
        <w:t xml:space="preserve">B. </w:t>
      </w:r>
      <w:proofErr w:type="spellStart"/>
      <w:r>
        <w:rPr>
          <w:rFonts w:eastAsiaTheme="minorEastAsia"/>
        </w:rPr>
        <w:t>Schäfer</w:t>
      </w:r>
      <w:proofErr w:type="spellEnd"/>
      <w:r w:rsidR="00945CA5" w:rsidRPr="000A692A">
        <w:t xml:space="preserve"> y </w:t>
      </w:r>
      <w:r>
        <w:t xml:space="preserve">C. </w:t>
      </w:r>
      <w:proofErr w:type="spellStart"/>
      <w:r>
        <w:rPr>
          <w:rFonts w:eastAsiaTheme="minorEastAsia"/>
        </w:rPr>
        <w:t>Ott</w:t>
      </w:r>
      <w:proofErr w:type="spellEnd"/>
      <w:r w:rsidR="00945CA5" w:rsidRPr="000A692A">
        <w:t xml:space="preserve"> (1991). </w:t>
      </w:r>
      <w:r w:rsidR="00945CA5" w:rsidRPr="000A692A">
        <w:rPr>
          <w:i/>
        </w:rPr>
        <w:t>Manual de análisis económico del derecho civil</w:t>
      </w:r>
      <w:r w:rsidR="00945CA5" w:rsidRPr="000A692A">
        <w:t xml:space="preserve">. </w:t>
      </w:r>
      <w:proofErr w:type="spellStart"/>
      <w:r w:rsidR="00945CA5" w:rsidRPr="000A692A">
        <w:t>Tecnos</w:t>
      </w:r>
      <w:proofErr w:type="spellEnd"/>
      <w:r w:rsidR="00945CA5" w:rsidRPr="000A692A">
        <w:t>, Madrid.</w:t>
      </w:r>
      <w:r w:rsidR="003933AD">
        <w:t xml:space="preserve"> </w:t>
      </w:r>
    </w:p>
    <w:p w:rsidR="008B3FE1" w:rsidRPr="000A692A" w:rsidRDefault="003933AD" w:rsidP="003933AD">
      <w:pPr>
        <w:pStyle w:val="Pargrafdellista"/>
        <w:numPr>
          <w:ilvl w:val="0"/>
          <w:numId w:val="7"/>
        </w:numPr>
        <w:tabs>
          <w:tab w:val="clear" w:pos="3420"/>
        </w:tabs>
        <w:autoSpaceDE/>
        <w:autoSpaceDN/>
        <w:spacing w:line="240" w:lineRule="auto"/>
      </w:pPr>
      <w:r>
        <w:t xml:space="preserve">P. Schwartz y A. Carbajo </w:t>
      </w:r>
      <w:r w:rsidR="008B3FE1" w:rsidRPr="000A692A">
        <w:t xml:space="preserve">(1981). </w:t>
      </w:r>
      <w:r w:rsidR="00F17CF5" w:rsidRPr="003933AD">
        <w:rPr>
          <w:lang w:val="es-ES_tradnl"/>
        </w:rPr>
        <w:t>«</w:t>
      </w:r>
      <w:r w:rsidR="008B3FE1" w:rsidRPr="003933AD">
        <w:rPr>
          <w:iCs/>
        </w:rPr>
        <w:t>Teoría económica de los derechos de propiedad</w:t>
      </w:r>
      <w:r w:rsidR="00F17CF5" w:rsidRPr="003933AD">
        <w:rPr>
          <w:lang w:val="es-ES_tradnl"/>
        </w:rPr>
        <w:t>»</w:t>
      </w:r>
      <w:r w:rsidR="008B3FE1" w:rsidRPr="000A692A">
        <w:t xml:space="preserve">. </w:t>
      </w:r>
      <w:r w:rsidR="008B3FE1" w:rsidRPr="003933AD">
        <w:rPr>
          <w:i/>
        </w:rPr>
        <w:t>Hacienda Pública Española</w:t>
      </w:r>
      <w:r w:rsidR="008B3FE1" w:rsidRPr="000A692A">
        <w:t>, núm. 68.</w:t>
      </w:r>
      <w:r>
        <w:t xml:space="preserve"> </w:t>
      </w:r>
    </w:p>
    <w:p w:rsidR="008B3FE1" w:rsidRPr="000A692A" w:rsidRDefault="003933AD" w:rsidP="00E370D4">
      <w:pPr>
        <w:pStyle w:val="Pargrafdellista"/>
        <w:numPr>
          <w:ilvl w:val="0"/>
          <w:numId w:val="7"/>
        </w:numPr>
        <w:spacing w:line="240" w:lineRule="auto"/>
      </w:pPr>
      <w:r>
        <w:t xml:space="preserve">J. Torres López </w:t>
      </w:r>
      <w:r w:rsidR="008B3FE1" w:rsidRPr="000A692A">
        <w:t xml:space="preserve">(1987). </w:t>
      </w:r>
      <w:r w:rsidR="008B3FE1" w:rsidRPr="000A692A">
        <w:rPr>
          <w:i/>
        </w:rPr>
        <w:t>Análisis Económico del Derecho. Panorama Doctrinal</w:t>
      </w:r>
      <w:r w:rsidR="008B3FE1" w:rsidRPr="000A692A">
        <w:t xml:space="preserve">. </w:t>
      </w:r>
      <w:proofErr w:type="spellStart"/>
      <w:r w:rsidR="008B3FE1" w:rsidRPr="000A692A">
        <w:t>Tecnos</w:t>
      </w:r>
      <w:proofErr w:type="spellEnd"/>
      <w:r w:rsidR="008B3FE1" w:rsidRPr="000A692A">
        <w:t>, Madrid.</w:t>
      </w:r>
    </w:p>
    <w:sectPr w:rsidR="008B3FE1" w:rsidRPr="000A692A" w:rsidSect="00107C18">
      <w:footerReference w:type="even"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A94" w:rsidRDefault="006F1A94" w:rsidP="00CA1341">
      <w:pPr>
        <w:spacing w:line="240" w:lineRule="auto"/>
      </w:pPr>
      <w:r>
        <w:separator/>
      </w:r>
    </w:p>
  </w:endnote>
  <w:endnote w:type="continuationSeparator" w:id="0">
    <w:p w:rsidR="006F1A94" w:rsidRDefault="006F1A94" w:rsidP="00CA13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8A9" w:rsidRDefault="00C15A56" w:rsidP="008A35FA">
    <w:pPr>
      <w:pStyle w:val="Peu"/>
      <w:framePr w:wrap="around" w:vAnchor="text" w:hAnchor="margin" w:xAlign="right" w:y="1"/>
      <w:rPr>
        <w:rStyle w:val="Nmerodepgina"/>
      </w:rPr>
    </w:pPr>
    <w:r>
      <w:rPr>
        <w:rStyle w:val="Nmerodepgina"/>
      </w:rPr>
      <w:fldChar w:fldCharType="begin"/>
    </w:r>
    <w:r w:rsidR="001E68A9">
      <w:rPr>
        <w:rStyle w:val="Nmerodepgina"/>
      </w:rPr>
      <w:instrText xml:space="preserve">PAGE  </w:instrText>
    </w:r>
    <w:r>
      <w:rPr>
        <w:rStyle w:val="Nmerodepgina"/>
      </w:rPr>
      <w:fldChar w:fldCharType="end"/>
    </w:r>
  </w:p>
  <w:p w:rsidR="001E68A9" w:rsidRDefault="001E68A9" w:rsidP="008A35FA">
    <w:pPr>
      <w:pStyle w:val="Peu"/>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8A9" w:rsidRDefault="00C15A56" w:rsidP="008A35FA">
    <w:pPr>
      <w:pStyle w:val="Peu"/>
      <w:framePr w:wrap="around" w:vAnchor="text" w:hAnchor="margin" w:xAlign="right" w:y="1"/>
      <w:rPr>
        <w:rStyle w:val="Nmerodepgina"/>
      </w:rPr>
    </w:pPr>
    <w:r>
      <w:rPr>
        <w:rStyle w:val="Nmerodepgina"/>
      </w:rPr>
      <w:fldChar w:fldCharType="begin"/>
    </w:r>
    <w:r w:rsidR="001E68A9">
      <w:rPr>
        <w:rStyle w:val="Nmerodepgina"/>
      </w:rPr>
      <w:instrText xml:space="preserve">PAGE  </w:instrText>
    </w:r>
    <w:r>
      <w:rPr>
        <w:rStyle w:val="Nmerodepgina"/>
      </w:rPr>
      <w:fldChar w:fldCharType="separate"/>
    </w:r>
    <w:r w:rsidR="00A61ECD">
      <w:rPr>
        <w:rStyle w:val="Nmerodepgina"/>
        <w:noProof/>
      </w:rPr>
      <w:t>1</w:t>
    </w:r>
    <w:r>
      <w:rPr>
        <w:rStyle w:val="Nmerodepgina"/>
      </w:rPr>
      <w:fldChar w:fldCharType="end"/>
    </w:r>
  </w:p>
  <w:p w:rsidR="001E68A9" w:rsidRDefault="001E68A9" w:rsidP="008A35FA">
    <w:pPr>
      <w:pStyle w:val="Peu"/>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A94" w:rsidRDefault="006F1A94" w:rsidP="00CA1341">
      <w:pPr>
        <w:spacing w:line="240" w:lineRule="auto"/>
      </w:pPr>
      <w:r>
        <w:separator/>
      </w:r>
    </w:p>
  </w:footnote>
  <w:footnote w:type="continuationSeparator" w:id="0">
    <w:p w:rsidR="006F1A94" w:rsidRDefault="006F1A94" w:rsidP="00CA1341">
      <w:pPr>
        <w:spacing w:line="240" w:lineRule="auto"/>
      </w:pPr>
      <w:r>
        <w:continuationSeparator/>
      </w:r>
    </w:p>
  </w:footnote>
  <w:footnote w:id="1">
    <w:p w:rsidR="00EC6FC7" w:rsidRPr="00E121B4" w:rsidRDefault="00EC6FC7" w:rsidP="002916C5">
      <w:pPr>
        <w:pStyle w:val="Textdenotaapeudepgina"/>
        <w:rPr>
          <w:sz w:val="20"/>
          <w:szCs w:val="20"/>
        </w:rPr>
      </w:pPr>
      <w:r w:rsidRPr="00E121B4">
        <w:rPr>
          <w:rStyle w:val="Refernciadenotaapeudepgina"/>
          <w:sz w:val="20"/>
          <w:szCs w:val="20"/>
        </w:rPr>
        <w:footnoteRef/>
      </w:r>
      <w:r w:rsidRPr="00E121B4">
        <w:rPr>
          <w:sz w:val="20"/>
          <w:szCs w:val="20"/>
        </w:rPr>
        <w:t xml:space="preserve"> Una versión del presente trabajo se presentó en forma de Comunicación </w:t>
      </w:r>
      <w:r w:rsidR="002E7C66" w:rsidRPr="00E121B4">
        <w:rPr>
          <w:sz w:val="20"/>
          <w:szCs w:val="20"/>
        </w:rPr>
        <w:t xml:space="preserve">al </w:t>
      </w:r>
      <w:r w:rsidR="002E7C66" w:rsidRPr="00E121B4">
        <w:rPr>
          <w:i/>
          <w:sz w:val="20"/>
          <w:szCs w:val="20"/>
        </w:rPr>
        <w:t>XXIV Congreso Nacional de Derecho del Trabajo y de la Seguridad Social</w:t>
      </w:r>
      <w:r w:rsidR="002E7C66" w:rsidRPr="00E121B4">
        <w:rPr>
          <w:sz w:val="20"/>
          <w:szCs w:val="20"/>
        </w:rPr>
        <w:t xml:space="preserve">, organizado por la Asociación Española de Derecho de Trabajo y de la Seguridad Social, Pamplona 29 y 30 mayo 2014, </w:t>
      </w:r>
      <w:r w:rsidRPr="00E121B4">
        <w:rPr>
          <w:sz w:val="20"/>
          <w:szCs w:val="20"/>
        </w:rPr>
        <w:t>con el título “El ‘cuerpo humano’ como objeto del contrato de trabajo: ¿La dignificación del ser humano a través del trabajo o indignidad repugnante</w:t>
      </w:r>
      <w:r w:rsidR="002E7C66" w:rsidRPr="00E121B4">
        <w:rPr>
          <w:sz w:val="20"/>
          <w:szCs w:val="20"/>
        </w:rPr>
        <w:t>?”</w:t>
      </w:r>
      <w:r w:rsidRPr="00E121B4">
        <w:rPr>
          <w:sz w:val="20"/>
          <w:szCs w:val="20"/>
        </w:rPr>
        <w:t xml:space="preserve">. El texto de la Comunicación original ha sido publicado en las Actas del </w:t>
      </w:r>
      <w:r w:rsidR="002E7C66" w:rsidRPr="00E121B4">
        <w:rPr>
          <w:sz w:val="20"/>
          <w:szCs w:val="20"/>
        </w:rPr>
        <w:t xml:space="preserve">citado </w:t>
      </w:r>
      <w:r w:rsidRPr="00E121B4">
        <w:rPr>
          <w:sz w:val="20"/>
          <w:szCs w:val="20"/>
        </w:rPr>
        <w:t xml:space="preserve">Congreso: </w:t>
      </w:r>
      <w:r w:rsidRPr="00E121B4">
        <w:rPr>
          <w:i/>
          <w:sz w:val="20"/>
          <w:szCs w:val="20"/>
        </w:rPr>
        <w:t>Los derechos fundamentales inespecíficos en la relación laboral y en materia de protección social. XXIV Congreso Nacional de Derecho del Trabajo y de la Seguridad Social</w:t>
      </w:r>
      <w:r w:rsidRPr="00E121B4">
        <w:rPr>
          <w:sz w:val="20"/>
          <w:szCs w:val="20"/>
        </w:rPr>
        <w:t>. Ediciones Cinca, Madrid. ISBN 978-84-15305-68-2 (</w:t>
      </w:r>
      <w:proofErr w:type="spellStart"/>
      <w:r w:rsidRPr="00E121B4">
        <w:rPr>
          <w:sz w:val="20"/>
          <w:szCs w:val="20"/>
        </w:rPr>
        <w:t>cd-Rom</w:t>
      </w:r>
      <w:proofErr w:type="spellEnd"/>
      <w:r w:rsidRPr="00E121B4">
        <w:rPr>
          <w:sz w:val="20"/>
          <w:szCs w:val="20"/>
        </w:rPr>
        <w:t>).</w:t>
      </w:r>
    </w:p>
  </w:footnote>
  <w:footnote w:id="2">
    <w:p w:rsidR="001E68A9" w:rsidRPr="00E121B4" w:rsidRDefault="001E68A9" w:rsidP="002916C5">
      <w:pPr>
        <w:pStyle w:val="Textdenotaapeudepgina"/>
        <w:rPr>
          <w:sz w:val="20"/>
          <w:szCs w:val="20"/>
          <w:lang w:val="es-ES_tradnl"/>
        </w:rPr>
      </w:pPr>
      <w:r w:rsidRPr="00E121B4">
        <w:rPr>
          <w:rStyle w:val="Refernciadenotaapeudepgina"/>
          <w:sz w:val="20"/>
          <w:szCs w:val="20"/>
        </w:rPr>
        <w:footnoteRef/>
      </w:r>
      <w:r w:rsidRPr="00E121B4">
        <w:rPr>
          <w:sz w:val="20"/>
          <w:szCs w:val="20"/>
        </w:rPr>
        <w:t xml:space="preserve"> </w:t>
      </w:r>
      <w:r w:rsidRPr="00E121B4">
        <w:rPr>
          <w:sz w:val="20"/>
          <w:szCs w:val="20"/>
          <w:lang w:val="es-ES_tradnl"/>
        </w:rPr>
        <w:t xml:space="preserve">Llegados a este punto, permítannos constatar que el título de este epígrafe </w:t>
      </w:r>
      <w:r w:rsidR="00154DD3" w:rsidRPr="00E121B4">
        <w:rPr>
          <w:sz w:val="20"/>
          <w:szCs w:val="20"/>
          <w:lang w:val="es-ES_tradnl"/>
        </w:rPr>
        <w:t>“</w:t>
      </w:r>
      <w:r w:rsidRPr="00E121B4">
        <w:rPr>
          <w:sz w:val="20"/>
          <w:szCs w:val="20"/>
          <w:lang w:val="es-ES_tradnl"/>
        </w:rPr>
        <w:t>juega</w:t>
      </w:r>
      <w:r w:rsidR="00154DD3" w:rsidRPr="00E121B4">
        <w:rPr>
          <w:sz w:val="20"/>
          <w:szCs w:val="20"/>
          <w:lang w:val="es-ES_tradnl"/>
        </w:rPr>
        <w:t>”</w:t>
      </w:r>
      <w:r w:rsidRPr="00E121B4">
        <w:rPr>
          <w:sz w:val="20"/>
          <w:szCs w:val="20"/>
          <w:lang w:val="es-ES_tradnl"/>
        </w:rPr>
        <w:t xml:space="preserve"> con el de un hito científico de la corriente normativa del </w:t>
      </w:r>
      <w:proofErr w:type="spellStart"/>
      <w:r w:rsidRPr="00E121B4">
        <w:rPr>
          <w:i/>
          <w:sz w:val="20"/>
          <w:szCs w:val="20"/>
          <w:lang w:val="es-ES_tradnl"/>
        </w:rPr>
        <w:t>Law</w:t>
      </w:r>
      <w:proofErr w:type="spellEnd"/>
      <w:r w:rsidRPr="00E121B4">
        <w:rPr>
          <w:i/>
          <w:sz w:val="20"/>
          <w:szCs w:val="20"/>
          <w:lang w:val="es-ES_tradnl"/>
        </w:rPr>
        <w:t xml:space="preserve"> &amp; </w:t>
      </w:r>
      <w:proofErr w:type="spellStart"/>
      <w:r w:rsidRPr="00E121B4">
        <w:rPr>
          <w:i/>
          <w:sz w:val="20"/>
          <w:szCs w:val="20"/>
          <w:lang w:val="es-ES_tradnl"/>
        </w:rPr>
        <w:t>Economics</w:t>
      </w:r>
      <w:proofErr w:type="spellEnd"/>
      <w:r w:rsidRPr="00E121B4">
        <w:rPr>
          <w:sz w:val="20"/>
          <w:szCs w:val="20"/>
          <w:lang w:val="es-ES_tradnl"/>
        </w:rPr>
        <w:t xml:space="preserve"> (</w:t>
      </w:r>
      <w:proofErr w:type="spellStart"/>
      <w:r w:rsidRPr="00E121B4">
        <w:rPr>
          <w:rFonts w:eastAsiaTheme="minorEastAsia"/>
          <w:i/>
          <w:sz w:val="20"/>
          <w:szCs w:val="20"/>
        </w:rPr>
        <w:t>Property</w:t>
      </w:r>
      <w:proofErr w:type="spellEnd"/>
      <w:r w:rsidRPr="00E121B4">
        <w:rPr>
          <w:rFonts w:eastAsiaTheme="minorEastAsia"/>
          <w:i/>
          <w:sz w:val="20"/>
          <w:szCs w:val="20"/>
        </w:rPr>
        <w:t xml:space="preserve"> Rules, </w:t>
      </w:r>
      <w:proofErr w:type="spellStart"/>
      <w:r w:rsidRPr="00E121B4">
        <w:rPr>
          <w:rFonts w:eastAsiaTheme="minorEastAsia"/>
          <w:i/>
          <w:sz w:val="20"/>
          <w:szCs w:val="20"/>
        </w:rPr>
        <w:t>Liability</w:t>
      </w:r>
      <w:proofErr w:type="spellEnd"/>
      <w:r w:rsidRPr="00E121B4">
        <w:rPr>
          <w:rFonts w:eastAsiaTheme="minorEastAsia"/>
          <w:i/>
          <w:sz w:val="20"/>
          <w:szCs w:val="20"/>
        </w:rPr>
        <w:t xml:space="preserve"> Rules and </w:t>
      </w:r>
      <w:proofErr w:type="spellStart"/>
      <w:r w:rsidRPr="00E121B4">
        <w:rPr>
          <w:rFonts w:eastAsiaTheme="minorEastAsia"/>
          <w:i/>
          <w:sz w:val="20"/>
          <w:szCs w:val="20"/>
        </w:rPr>
        <w:t>Inalienability</w:t>
      </w:r>
      <w:proofErr w:type="spellEnd"/>
      <w:r w:rsidRPr="00E121B4">
        <w:rPr>
          <w:rFonts w:eastAsiaTheme="minorEastAsia"/>
          <w:i/>
          <w:sz w:val="20"/>
          <w:szCs w:val="20"/>
        </w:rPr>
        <w:t xml:space="preserve">: </w:t>
      </w:r>
      <w:proofErr w:type="spellStart"/>
      <w:r w:rsidRPr="00E121B4">
        <w:rPr>
          <w:rFonts w:eastAsiaTheme="minorEastAsia"/>
          <w:i/>
          <w:sz w:val="20"/>
          <w:szCs w:val="20"/>
        </w:rPr>
        <w:t>One</w:t>
      </w:r>
      <w:proofErr w:type="spellEnd"/>
      <w:r w:rsidRPr="00E121B4">
        <w:rPr>
          <w:rFonts w:eastAsiaTheme="minorEastAsia"/>
          <w:i/>
          <w:sz w:val="20"/>
          <w:szCs w:val="20"/>
        </w:rPr>
        <w:t xml:space="preserve"> View of </w:t>
      </w:r>
      <w:proofErr w:type="spellStart"/>
      <w:r w:rsidRPr="00E121B4">
        <w:rPr>
          <w:rFonts w:eastAsiaTheme="minorEastAsia"/>
          <w:i/>
          <w:sz w:val="20"/>
          <w:szCs w:val="20"/>
        </w:rPr>
        <w:t>the</w:t>
      </w:r>
      <w:proofErr w:type="spellEnd"/>
      <w:r w:rsidRPr="00E121B4">
        <w:rPr>
          <w:rFonts w:eastAsiaTheme="minorEastAsia"/>
          <w:i/>
          <w:sz w:val="20"/>
          <w:szCs w:val="20"/>
        </w:rPr>
        <w:t xml:space="preserve"> </w:t>
      </w:r>
      <w:proofErr w:type="spellStart"/>
      <w:r w:rsidRPr="00E121B4">
        <w:rPr>
          <w:rFonts w:eastAsiaTheme="minorEastAsia"/>
          <w:i/>
          <w:sz w:val="20"/>
          <w:szCs w:val="20"/>
        </w:rPr>
        <w:t>Cathedral</w:t>
      </w:r>
      <w:proofErr w:type="spellEnd"/>
      <w:r w:rsidRPr="00E121B4">
        <w:rPr>
          <w:sz w:val="20"/>
          <w:szCs w:val="20"/>
          <w:lang w:val="es-ES_tradnl"/>
        </w:rPr>
        <w:t xml:space="preserve"> - CALABRESI y MELAME</w:t>
      </w:r>
      <w:r w:rsidR="00154DD3" w:rsidRPr="00E121B4">
        <w:rPr>
          <w:sz w:val="20"/>
          <w:szCs w:val="20"/>
          <w:lang w:val="es-ES_tradnl"/>
        </w:rPr>
        <w:t>D, 1972)</w:t>
      </w:r>
      <w:r w:rsidRPr="00E121B4">
        <w:rPr>
          <w:sz w:val="20"/>
          <w:szCs w:val="20"/>
          <w:lang w:val="es-ES_tradnl"/>
        </w:rPr>
        <w:t xml:space="preserve">. </w:t>
      </w:r>
    </w:p>
  </w:footnote>
  <w:footnote w:id="3">
    <w:p w:rsidR="001E68A9" w:rsidRPr="00E121B4" w:rsidRDefault="001E68A9" w:rsidP="002916C5">
      <w:pPr>
        <w:pStyle w:val="Textdenotaapeudepgina"/>
        <w:rPr>
          <w:sz w:val="20"/>
          <w:szCs w:val="20"/>
          <w:lang w:val="es-ES_tradnl"/>
        </w:rPr>
      </w:pPr>
      <w:r w:rsidRPr="00E121B4">
        <w:rPr>
          <w:rStyle w:val="Refernciadenotaapeudepgina"/>
          <w:sz w:val="20"/>
          <w:szCs w:val="20"/>
        </w:rPr>
        <w:footnoteRef/>
      </w:r>
      <w:r w:rsidRPr="00E121B4">
        <w:rPr>
          <w:sz w:val="20"/>
          <w:szCs w:val="20"/>
        </w:rPr>
        <w:t xml:space="preserve"> </w:t>
      </w:r>
      <w:r w:rsidRPr="00E121B4">
        <w:rPr>
          <w:sz w:val="20"/>
          <w:szCs w:val="20"/>
          <w:lang w:val="es-ES_tradnl"/>
        </w:rPr>
        <w:t>OJEDA AVILÉS e IGARTÚA MIRÓ (2008), p. 147.</w:t>
      </w:r>
    </w:p>
  </w:footnote>
  <w:footnote w:id="4">
    <w:p w:rsidR="001E68A9" w:rsidRPr="00E121B4" w:rsidRDefault="001E68A9" w:rsidP="002916C5">
      <w:pPr>
        <w:pStyle w:val="Textdenotaapeudepgina"/>
        <w:rPr>
          <w:sz w:val="20"/>
          <w:szCs w:val="20"/>
          <w:lang w:val="es-ES_tradnl"/>
        </w:rPr>
      </w:pPr>
      <w:r w:rsidRPr="00E121B4">
        <w:rPr>
          <w:rStyle w:val="Refernciadenotaapeudepgina"/>
          <w:sz w:val="20"/>
          <w:szCs w:val="20"/>
        </w:rPr>
        <w:footnoteRef/>
      </w:r>
      <w:r w:rsidRPr="00E121B4">
        <w:rPr>
          <w:sz w:val="20"/>
          <w:szCs w:val="20"/>
        </w:rPr>
        <w:t xml:space="preserve"> </w:t>
      </w:r>
      <w:r w:rsidRPr="00E121B4">
        <w:rPr>
          <w:rFonts w:eastAsiaTheme="minorEastAsia"/>
          <w:sz w:val="20"/>
          <w:szCs w:val="20"/>
        </w:rPr>
        <w:t xml:space="preserve">SUPIOT (1997, p. 96): </w:t>
      </w:r>
      <w:r w:rsidRPr="00E121B4">
        <w:rPr>
          <w:sz w:val="20"/>
          <w:szCs w:val="20"/>
        </w:rPr>
        <w:t>“No basta con conseguir que el trabajador salga indemne de la relación de trabajo; es preciso, también, que halle los medios para perpetuar su fuerza de trabajo, es decir, los medios para vivir y hacer vivir a los suyos”.</w:t>
      </w:r>
    </w:p>
  </w:footnote>
  <w:footnote w:id="5">
    <w:p w:rsidR="001E68A9" w:rsidRPr="00E121B4" w:rsidRDefault="001E68A9" w:rsidP="002916C5">
      <w:pPr>
        <w:widowControl w:val="0"/>
        <w:tabs>
          <w:tab w:val="clear" w:pos="3420"/>
        </w:tabs>
        <w:adjustRightInd w:val="0"/>
        <w:spacing w:line="240" w:lineRule="auto"/>
        <w:rPr>
          <w:sz w:val="20"/>
          <w:szCs w:val="20"/>
        </w:rPr>
      </w:pPr>
      <w:r w:rsidRPr="00E121B4">
        <w:rPr>
          <w:rStyle w:val="Refernciadenotaapeudepgina"/>
          <w:sz w:val="20"/>
          <w:szCs w:val="20"/>
        </w:rPr>
        <w:footnoteRef/>
      </w:r>
      <w:r w:rsidRPr="00E121B4">
        <w:rPr>
          <w:sz w:val="20"/>
          <w:szCs w:val="20"/>
        </w:rPr>
        <w:t xml:space="preserve"> </w:t>
      </w:r>
      <w:r w:rsidRPr="00E121B4">
        <w:rPr>
          <w:rFonts w:eastAsiaTheme="minorEastAsia"/>
          <w:sz w:val="20"/>
          <w:szCs w:val="20"/>
        </w:rPr>
        <w:t>CASAS BAAMONDE, (2004), p. 25: “la prestación de trabajo no absorbe la personalidad del trabajador, ni su vida, no ya privada sino personal; es solo una parte de su libertad que en modo alguno puede menoscabar la dignidad y el desarrollo de su personalidad”.</w:t>
      </w:r>
    </w:p>
  </w:footnote>
  <w:footnote w:id="6">
    <w:p w:rsidR="001E68A9" w:rsidRPr="00E121B4" w:rsidRDefault="001E68A9" w:rsidP="002916C5">
      <w:pPr>
        <w:pStyle w:val="Textdenotaapeudepgina"/>
        <w:rPr>
          <w:sz w:val="20"/>
          <w:szCs w:val="20"/>
          <w:lang w:val="es-ES_tradnl"/>
        </w:rPr>
      </w:pPr>
      <w:r w:rsidRPr="00E121B4">
        <w:rPr>
          <w:rStyle w:val="Refernciadenotaapeudepgina"/>
          <w:sz w:val="20"/>
          <w:szCs w:val="20"/>
        </w:rPr>
        <w:footnoteRef/>
      </w:r>
      <w:r w:rsidRPr="00E121B4">
        <w:rPr>
          <w:sz w:val="20"/>
          <w:szCs w:val="20"/>
        </w:rPr>
        <w:t xml:space="preserve"> </w:t>
      </w:r>
      <w:r w:rsidRPr="00E121B4">
        <w:rPr>
          <w:sz w:val="20"/>
          <w:szCs w:val="20"/>
          <w:lang w:val="es-ES_tradnl"/>
        </w:rPr>
        <w:t>Como apunta el citado autor (SUPIOT, 1999, p. 25 y 26), el principio de la integridad física se expresa de dos maneras diferentes en el derecho del trabajo: sujeción de los asalariados al poder del empresario impone a éste la obligación de velar por la salud y la seguridad de aquéllos; y derecho del asalariado a sustraerse a ese poder desde el momento en que su salud y su seguridad entran en juego.</w:t>
      </w:r>
    </w:p>
  </w:footnote>
  <w:footnote w:id="7">
    <w:p w:rsidR="005818A0" w:rsidRPr="00E121B4" w:rsidRDefault="005818A0" w:rsidP="002916C5">
      <w:pPr>
        <w:pStyle w:val="Textdenotaapeudepgina"/>
        <w:rPr>
          <w:rFonts w:eastAsiaTheme="minorEastAsia"/>
          <w:sz w:val="20"/>
          <w:szCs w:val="20"/>
        </w:rPr>
      </w:pPr>
      <w:r w:rsidRPr="00E121B4">
        <w:rPr>
          <w:rStyle w:val="Refernciadenotaapeudepgina"/>
          <w:sz w:val="20"/>
          <w:szCs w:val="20"/>
        </w:rPr>
        <w:footnoteRef/>
      </w:r>
      <w:r w:rsidRPr="00E121B4">
        <w:rPr>
          <w:sz w:val="20"/>
          <w:szCs w:val="20"/>
        </w:rPr>
        <w:t xml:space="preserve"> </w:t>
      </w:r>
      <w:r w:rsidRPr="00E121B4">
        <w:rPr>
          <w:sz w:val="20"/>
          <w:szCs w:val="20"/>
          <w:lang w:val="es-ES_tradnl"/>
        </w:rPr>
        <w:t>CALABRESI y MELAMED (1972)</w:t>
      </w:r>
      <w:r w:rsidRPr="00E121B4">
        <w:rPr>
          <w:rFonts w:eastAsiaTheme="minorEastAsia"/>
          <w:sz w:val="20"/>
          <w:szCs w:val="20"/>
        </w:rPr>
        <w:t>.</w:t>
      </w:r>
    </w:p>
  </w:footnote>
  <w:footnote w:id="8">
    <w:p w:rsidR="001E68A9" w:rsidRPr="00E121B4" w:rsidRDefault="001E68A9" w:rsidP="002916C5">
      <w:pPr>
        <w:pStyle w:val="Textdenotaapeudepgina"/>
        <w:rPr>
          <w:sz w:val="20"/>
          <w:szCs w:val="20"/>
          <w:lang w:val="es-ES_tradnl"/>
        </w:rPr>
      </w:pPr>
      <w:r w:rsidRPr="00E121B4">
        <w:rPr>
          <w:rStyle w:val="Refernciadenotaapeudepgina"/>
          <w:sz w:val="20"/>
          <w:szCs w:val="20"/>
        </w:rPr>
        <w:footnoteRef/>
      </w:r>
      <w:r w:rsidRPr="00E121B4">
        <w:rPr>
          <w:sz w:val="20"/>
          <w:szCs w:val="20"/>
        </w:rPr>
        <w:t xml:space="preserve"> </w:t>
      </w:r>
      <w:r w:rsidRPr="00E121B4">
        <w:rPr>
          <w:sz w:val="20"/>
          <w:szCs w:val="20"/>
          <w:lang w:val="es-ES_tradnl"/>
        </w:rPr>
        <w:t>CALABRESI (1984, p. 111).</w:t>
      </w:r>
    </w:p>
  </w:footnote>
  <w:footnote w:id="9">
    <w:p w:rsidR="001E68A9" w:rsidRPr="00E121B4" w:rsidRDefault="001E68A9" w:rsidP="002916C5">
      <w:pPr>
        <w:pStyle w:val="Textdenotaapeudepgina"/>
        <w:rPr>
          <w:sz w:val="20"/>
          <w:szCs w:val="20"/>
        </w:rPr>
      </w:pPr>
      <w:r w:rsidRPr="00E121B4">
        <w:rPr>
          <w:rStyle w:val="Refernciadenotaapeudepgina"/>
          <w:sz w:val="20"/>
          <w:szCs w:val="20"/>
        </w:rPr>
        <w:footnoteRef/>
      </w:r>
      <w:r w:rsidRPr="00E121B4">
        <w:rPr>
          <w:sz w:val="20"/>
          <w:szCs w:val="20"/>
        </w:rPr>
        <w:t xml:space="preserve"> Recuérdese, basada sintéticamente en el cálculo hedonista del placer y el dolor. </w:t>
      </w:r>
      <w:r w:rsidRPr="00E121B4">
        <w:rPr>
          <w:i/>
          <w:iCs/>
          <w:sz w:val="20"/>
          <w:szCs w:val="20"/>
        </w:rPr>
        <w:t xml:space="preserve">Vid. </w:t>
      </w:r>
      <w:r w:rsidRPr="00E121B4">
        <w:rPr>
          <w:sz w:val="20"/>
          <w:szCs w:val="20"/>
        </w:rPr>
        <w:t xml:space="preserve">al respecto, </w:t>
      </w:r>
      <w:r w:rsidRPr="00E121B4">
        <w:rPr>
          <w:bCs/>
          <w:smallCaps/>
          <w:sz w:val="20"/>
          <w:szCs w:val="20"/>
        </w:rPr>
        <w:t>BECKER</w:t>
      </w:r>
      <w:r w:rsidRPr="00E121B4">
        <w:rPr>
          <w:sz w:val="20"/>
          <w:szCs w:val="20"/>
        </w:rPr>
        <w:t xml:space="preserve"> (1980, p. 14). Las concepciones liberales son fundamentalmente individualistas y, como se sabe, afirman que el bienestar social es considerado como el bienestar de cada uno de sus individuos (hipótesis del comportamiento racionalmente egoísta – individualismo metodológico). El modelo </w:t>
      </w:r>
      <w:r w:rsidR="00253874" w:rsidRPr="00E121B4">
        <w:rPr>
          <w:sz w:val="20"/>
          <w:szCs w:val="20"/>
        </w:rPr>
        <w:t xml:space="preserve">(resumidamente) </w:t>
      </w:r>
      <w:r w:rsidRPr="00E121B4">
        <w:rPr>
          <w:sz w:val="20"/>
          <w:szCs w:val="20"/>
        </w:rPr>
        <w:t xml:space="preserve">se basa en las siguientes proposiciones: en primer lugar, los individuos son capaces de juzgar su propio bienestar; y, en segundo lugar, se “excluye decididamente el comportamiento altruista como norma general de acción económica”, por lo que las decisiones individuales no se toman en función de la situación de los demás sujetos. </w:t>
      </w:r>
      <w:r w:rsidRPr="00E121B4">
        <w:rPr>
          <w:bCs/>
          <w:smallCaps/>
          <w:sz w:val="20"/>
          <w:szCs w:val="20"/>
        </w:rPr>
        <w:t>TORRES LÓPEZ</w:t>
      </w:r>
      <w:r w:rsidRPr="00E121B4">
        <w:rPr>
          <w:sz w:val="20"/>
          <w:szCs w:val="20"/>
        </w:rPr>
        <w:t xml:space="preserve"> (1987, p. 30). </w:t>
      </w:r>
      <w:r w:rsidRPr="00E121B4">
        <w:rPr>
          <w:i/>
          <w:sz w:val="20"/>
          <w:szCs w:val="20"/>
        </w:rPr>
        <w:t>Vid.</w:t>
      </w:r>
      <w:r w:rsidRPr="00E121B4">
        <w:rPr>
          <w:sz w:val="20"/>
          <w:szCs w:val="20"/>
        </w:rPr>
        <w:t xml:space="preserve"> también, </w:t>
      </w:r>
      <w:r w:rsidRPr="00E121B4">
        <w:rPr>
          <w:bCs/>
          <w:smallCaps/>
          <w:sz w:val="20"/>
          <w:szCs w:val="20"/>
        </w:rPr>
        <w:t>BUCHANAN</w:t>
      </w:r>
      <w:r w:rsidRPr="00E121B4">
        <w:rPr>
          <w:sz w:val="20"/>
          <w:szCs w:val="20"/>
        </w:rPr>
        <w:t xml:space="preserve"> (1987, p. 527 y ss.); y </w:t>
      </w:r>
      <w:r w:rsidRPr="00E121B4">
        <w:rPr>
          <w:bCs/>
          <w:smallCaps/>
          <w:sz w:val="20"/>
          <w:szCs w:val="20"/>
        </w:rPr>
        <w:t>CALSAMIGLIA</w:t>
      </w:r>
      <w:r w:rsidRPr="00E121B4">
        <w:rPr>
          <w:sz w:val="20"/>
          <w:szCs w:val="20"/>
        </w:rPr>
        <w:t xml:space="preserve"> (1987, p. 269). Los hombres tratan de incrementar su propia utilidad y procurar su beneficio personal, sabiendo con claridad lo que para ellos es útil o inútil. Propósito que tratan de alcanzar de un modo racional. En este planteamiento, la racionalidad sólo puede entenderse en términos de </w:t>
      </w:r>
      <w:r w:rsidRPr="00E121B4">
        <w:rPr>
          <w:i/>
          <w:iCs/>
          <w:sz w:val="20"/>
          <w:szCs w:val="20"/>
        </w:rPr>
        <w:t xml:space="preserve">objetivos </w:t>
      </w:r>
      <w:r w:rsidRPr="00E121B4">
        <w:rPr>
          <w:sz w:val="20"/>
          <w:szCs w:val="20"/>
        </w:rPr>
        <w:t xml:space="preserve">y </w:t>
      </w:r>
      <w:r w:rsidRPr="00E121B4">
        <w:rPr>
          <w:i/>
          <w:iCs/>
          <w:sz w:val="20"/>
          <w:szCs w:val="20"/>
        </w:rPr>
        <w:t>metas</w:t>
      </w:r>
      <w:r w:rsidRPr="00E121B4">
        <w:rPr>
          <w:sz w:val="20"/>
          <w:szCs w:val="20"/>
        </w:rPr>
        <w:t xml:space="preserve">. Así pues, “presupone objetivos de prosperidad que no tienen por qué ser egoístas ni fundarse en intereses personales. Para alcanzar estas metas existen medios (...) de los que se dispone en escala limitada”. A partir de esta base, “lo </w:t>
      </w:r>
      <w:r w:rsidRPr="00E121B4">
        <w:rPr>
          <w:i/>
          <w:iCs/>
          <w:sz w:val="20"/>
          <w:szCs w:val="20"/>
        </w:rPr>
        <w:t>racional</w:t>
      </w:r>
      <w:r w:rsidRPr="00E121B4">
        <w:rPr>
          <w:sz w:val="20"/>
          <w:szCs w:val="20"/>
        </w:rPr>
        <w:t xml:space="preserve"> supone el empleo de medios en una cantidad determinada con que se maximiza el grado de consecución de los objetivos o con la que se obtiene una determinada proporción de éstos con una cantidad mínima de medios. De esta forma se consigue la mejor relación posible entre medios y objetivos, y los medios son óptima y eficientemente colocados, y su empleo corresponde al principio de rentabilidad”. </w:t>
      </w:r>
      <w:r w:rsidRPr="00E121B4">
        <w:rPr>
          <w:bCs/>
          <w:smallCaps/>
          <w:sz w:val="20"/>
          <w:szCs w:val="20"/>
        </w:rPr>
        <w:t>SCHÄFER</w:t>
      </w:r>
      <w:r w:rsidRPr="00E121B4">
        <w:rPr>
          <w:sz w:val="20"/>
          <w:szCs w:val="20"/>
        </w:rPr>
        <w:t xml:space="preserve"> y </w:t>
      </w:r>
      <w:r w:rsidRPr="00E121B4">
        <w:rPr>
          <w:bCs/>
          <w:smallCaps/>
          <w:sz w:val="20"/>
          <w:szCs w:val="20"/>
        </w:rPr>
        <w:t>OTT</w:t>
      </w:r>
      <w:r w:rsidRPr="00E121B4">
        <w:rPr>
          <w:sz w:val="20"/>
          <w:szCs w:val="20"/>
        </w:rPr>
        <w:t xml:space="preserve"> (1991, p. 60 y 61). En definitiva, “persiguiendo el derecho el bien público (...) deberá, en realidad, incentivar la promoción del interés individual, porque el interés social (...) no es más que la suma aritmética de los intereses individuales”. </w:t>
      </w:r>
      <w:r w:rsidRPr="00E121B4">
        <w:rPr>
          <w:bCs/>
          <w:smallCaps/>
          <w:sz w:val="20"/>
          <w:szCs w:val="20"/>
        </w:rPr>
        <w:t>PAZ-ARES</w:t>
      </w:r>
      <w:r w:rsidRPr="00E121B4">
        <w:rPr>
          <w:sz w:val="20"/>
          <w:szCs w:val="20"/>
        </w:rPr>
        <w:t xml:space="preserve"> (1981, p. 627). </w:t>
      </w:r>
    </w:p>
  </w:footnote>
  <w:footnote w:id="10">
    <w:p w:rsidR="001E68A9" w:rsidRPr="00E121B4" w:rsidRDefault="001E68A9" w:rsidP="002916C5">
      <w:pPr>
        <w:pStyle w:val="Textdenotaapeudepgina"/>
        <w:rPr>
          <w:sz w:val="20"/>
          <w:szCs w:val="20"/>
        </w:rPr>
      </w:pPr>
      <w:r w:rsidRPr="00E121B4">
        <w:rPr>
          <w:rStyle w:val="Refernciadenotaapeudepgina"/>
          <w:sz w:val="20"/>
          <w:szCs w:val="20"/>
        </w:rPr>
        <w:footnoteRef/>
      </w:r>
      <w:r w:rsidRPr="00E121B4">
        <w:rPr>
          <w:sz w:val="20"/>
          <w:szCs w:val="20"/>
        </w:rPr>
        <w:t xml:space="preserve"> </w:t>
      </w:r>
      <w:r w:rsidRPr="00E121B4">
        <w:rPr>
          <w:bCs/>
          <w:smallCaps/>
          <w:sz w:val="20"/>
          <w:szCs w:val="20"/>
        </w:rPr>
        <w:t>POSNER</w:t>
      </w:r>
      <w:r w:rsidRPr="00E121B4">
        <w:rPr>
          <w:sz w:val="20"/>
          <w:szCs w:val="20"/>
        </w:rPr>
        <w:t xml:space="preserve"> (1998)</w:t>
      </w:r>
      <w:r w:rsidRPr="00E121B4">
        <w:rPr>
          <w:iCs/>
          <w:sz w:val="20"/>
          <w:szCs w:val="20"/>
        </w:rPr>
        <w:t>.</w:t>
      </w:r>
      <w:r w:rsidRPr="00E121B4">
        <w:rPr>
          <w:sz w:val="20"/>
          <w:szCs w:val="20"/>
        </w:rPr>
        <w:t xml:space="preserve"> Enfoque que parte de la base de que las normas jurídicas responden a una lógica económica y que su fin consiste en el fomento de la eficiencia. </w:t>
      </w:r>
      <w:r w:rsidRPr="00E121B4">
        <w:rPr>
          <w:i/>
          <w:iCs/>
          <w:sz w:val="20"/>
          <w:szCs w:val="20"/>
        </w:rPr>
        <w:t xml:space="preserve">Vid. </w:t>
      </w:r>
      <w:r w:rsidRPr="00E121B4">
        <w:rPr>
          <w:bCs/>
          <w:smallCaps/>
          <w:sz w:val="20"/>
          <w:szCs w:val="20"/>
        </w:rPr>
        <w:t>SCHWARTZ</w:t>
      </w:r>
      <w:r w:rsidRPr="00E121B4">
        <w:rPr>
          <w:sz w:val="20"/>
          <w:szCs w:val="20"/>
        </w:rPr>
        <w:t xml:space="preserve"> y </w:t>
      </w:r>
      <w:r w:rsidRPr="00E121B4">
        <w:rPr>
          <w:bCs/>
          <w:smallCaps/>
          <w:sz w:val="20"/>
          <w:szCs w:val="20"/>
        </w:rPr>
        <w:t>CARBAJO</w:t>
      </w:r>
      <w:r w:rsidRPr="00E121B4">
        <w:rPr>
          <w:sz w:val="20"/>
          <w:szCs w:val="20"/>
        </w:rPr>
        <w:t xml:space="preserve"> (1981, p. 229). </w:t>
      </w:r>
    </w:p>
  </w:footnote>
  <w:footnote w:id="11">
    <w:p w:rsidR="001E68A9" w:rsidRPr="00E121B4" w:rsidRDefault="001E68A9" w:rsidP="002916C5">
      <w:pPr>
        <w:pStyle w:val="Textdenotaapeudepgina"/>
        <w:rPr>
          <w:sz w:val="20"/>
          <w:szCs w:val="20"/>
          <w:lang w:val="es-ES_tradnl"/>
        </w:rPr>
      </w:pPr>
      <w:r w:rsidRPr="00E121B4">
        <w:rPr>
          <w:rStyle w:val="Refernciadenotaapeudepgina"/>
          <w:sz w:val="20"/>
          <w:szCs w:val="20"/>
        </w:rPr>
        <w:footnoteRef/>
      </w:r>
      <w:r w:rsidRPr="00E121B4">
        <w:rPr>
          <w:sz w:val="20"/>
          <w:szCs w:val="20"/>
        </w:rPr>
        <w:t xml:space="preserve"> </w:t>
      </w:r>
      <w:r w:rsidRPr="00E121B4">
        <w:rPr>
          <w:smallCaps/>
          <w:sz w:val="20"/>
          <w:szCs w:val="20"/>
        </w:rPr>
        <w:t>CALSAMIGLIA</w:t>
      </w:r>
      <w:r w:rsidRPr="00E121B4">
        <w:rPr>
          <w:sz w:val="20"/>
          <w:szCs w:val="20"/>
        </w:rPr>
        <w:t xml:space="preserve"> (1993, p. 13 y 14).</w:t>
      </w:r>
    </w:p>
  </w:footnote>
  <w:footnote w:id="12">
    <w:p w:rsidR="008579CC" w:rsidRPr="00E121B4" w:rsidRDefault="008579CC" w:rsidP="008579CC">
      <w:pPr>
        <w:tabs>
          <w:tab w:val="clear" w:pos="3420"/>
        </w:tabs>
        <w:adjustRightInd w:val="0"/>
        <w:spacing w:line="240" w:lineRule="auto"/>
        <w:rPr>
          <w:rFonts w:eastAsiaTheme="minorEastAsia"/>
          <w:sz w:val="20"/>
          <w:szCs w:val="20"/>
        </w:rPr>
      </w:pPr>
      <w:r w:rsidRPr="00E121B4">
        <w:rPr>
          <w:rStyle w:val="Refernciadenotaapeudepgina"/>
          <w:sz w:val="20"/>
          <w:szCs w:val="20"/>
        </w:rPr>
        <w:footnoteRef/>
      </w:r>
      <w:r w:rsidRPr="00E121B4">
        <w:rPr>
          <w:sz w:val="20"/>
          <w:szCs w:val="20"/>
        </w:rPr>
        <w:t xml:space="preserve"> </w:t>
      </w:r>
      <w:r w:rsidRPr="00E121B4">
        <w:rPr>
          <w:rFonts w:eastAsiaTheme="minorEastAsia"/>
          <w:sz w:val="20"/>
          <w:szCs w:val="20"/>
        </w:rPr>
        <w:t xml:space="preserve">BECKER (1972); POSNER (1992); POSNER y SILBAUGH (1996); y EDLUND y KORN (2002). </w:t>
      </w:r>
      <w:r w:rsidRPr="00E121B4">
        <w:rPr>
          <w:rFonts w:eastAsiaTheme="minorEastAsia"/>
          <w:i/>
          <w:sz w:val="20"/>
          <w:szCs w:val="20"/>
        </w:rPr>
        <w:t>Vid.</w:t>
      </w:r>
      <w:r w:rsidRPr="00E121B4">
        <w:rPr>
          <w:rFonts w:eastAsiaTheme="minorEastAsia"/>
          <w:sz w:val="20"/>
          <w:szCs w:val="20"/>
        </w:rPr>
        <w:t xml:space="preserve"> también ROEMER (2013), p. 339 a 349.</w:t>
      </w:r>
    </w:p>
  </w:footnote>
  <w:footnote w:id="13">
    <w:p w:rsidR="001E68A9" w:rsidRPr="00E121B4" w:rsidRDefault="001E68A9" w:rsidP="002916C5">
      <w:pPr>
        <w:pStyle w:val="Textdenotaapeudepgina"/>
        <w:rPr>
          <w:sz w:val="20"/>
          <w:szCs w:val="20"/>
          <w:lang w:val="es-ES_tradnl"/>
        </w:rPr>
      </w:pPr>
      <w:r w:rsidRPr="00E121B4">
        <w:rPr>
          <w:rStyle w:val="Refernciadenotaapeudepgina"/>
          <w:sz w:val="20"/>
          <w:szCs w:val="20"/>
        </w:rPr>
        <w:footnoteRef/>
      </w:r>
      <w:r w:rsidRPr="00E121B4">
        <w:rPr>
          <w:sz w:val="20"/>
          <w:szCs w:val="20"/>
        </w:rPr>
        <w:t xml:space="preserve"> </w:t>
      </w:r>
      <w:hyperlink r:id="rId1" w:history="1">
        <w:r w:rsidRPr="00E121B4">
          <w:rPr>
            <w:rStyle w:val="Enlla"/>
            <w:sz w:val="20"/>
            <w:szCs w:val="20"/>
          </w:rPr>
          <w:t>http://www1.umn.edu/humanrts/hrcommittee/spanish/854-1999.html</w:t>
        </w:r>
      </w:hyperlink>
      <w:r w:rsidRPr="00E121B4">
        <w:rPr>
          <w:sz w:val="20"/>
          <w:szCs w:val="20"/>
        </w:rPr>
        <w:t xml:space="preserve"> (última consulta: 10/03/14).</w:t>
      </w:r>
    </w:p>
  </w:footnote>
  <w:footnote w:id="14">
    <w:p w:rsidR="001E68A9" w:rsidRPr="00E121B4" w:rsidRDefault="001E68A9" w:rsidP="002916C5">
      <w:pPr>
        <w:pStyle w:val="Textdenotaapeudepgina"/>
        <w:rPr>
          <w:sz w:val="20"/>
          <w:szCs w:val="20"/>
          <w:lang w:val="es-ES_tradnl"/>
        </w:rPr>
      </w:pPr>
      <w:r w:rsidRPr="00E121B4">
        <w:rPr>
          <w:rStyle w:val="Refernciadenotaapeudepgina"/>
          <w:sz w:val="20"/>
          <w:szCs w:val="20"/>
        </w:rPr>
        <w:footnoteRef/>
      </w:r>
      <w:r w:rsidRPr="00E121B4">
        <w:rPr>
          <w:sz w:val="20"/>
          <w:szCs w:val="20"/>
        </w:rPr>
        <w:t xml:space="preserve"> </w:t>
      </w:r>
      <w:r w:rsidRPr="00E121B4">
        <w:rPr>
          <w:rFonts w:eastAsiaTheme="minorEastAsia"/>
          <w:sz w:val="20"/>
          <w:szCs w:val="20"/>
        </w:rPr>
        <w:t>Invocando el párrafo 1 del artículo 2; el párrafo 2 del artículo 5 (1); el párrafo 1 del artículo 9; el artículo 16 (2); el párrafo 1 del artículo 17; y el artículo 26 del Pacto Internacional de Derechos Civiles y Políticos.</w:t>
      </w:r>
    </w:p>
  </w:footnote>
  <w:footnote w:id="15">
    <w:p w:rsidR="001E68A9" w:rsidRPr="00E121B4" w:rsidRDefault="001E68A9" w:rsidP="002916C5">
      <w:pPr>
        <w:pStyle w:val="Textdenotaapeudepgina"/>
        <w:rPr>
          <w:sz w:val="20"/>
          <w:szCs w:val="20"/>
          <w:lang w:val="es-ES_tradnl"/>
        </w:rPr>
      </w:pPr>
      <w:r w:rsidRPr="00E121B4">
        <w:rPr>
          <w:rStyle w:val="Refernciadenotaapeudepgina"/>
          <w:sz w:val="20"/>
          <w:szCs w:val="20"/>
        </w:rPr>
        <w:footnoteRef/>
      </w:r>
      <w:r w:rsidRPr="00E121B4">
        <w:rPr>
          <w:sz w:val="20"/>
          <w:szCs w:val="20"/>
        </w:rPr>
        <w:t xml:space="preserve"> </w:t>
      </w:r>
      <w:r w:rsidRPr="00E121B4">
        <w:rPr>
          <w:sz w:val="20"/>
          <w:szCs w:val="20"/>
          <w:lang w:val="es-ES_tradnl"/>
        </w:rPr>
        <w:t xml:space="preserve">No obstante, repárese que la cuestión no es pacífica, pues, ilustres economistas (como el Premio Nobel ROTH, 2007, p. 7) han defendido la </w:t>
      </w:r>
      <w:proofErr w:type="spellStart"/>
      <w:r w:rsidRPr="00E121B4">
        <w:rPr>
          <w:sz w:val="20"/>
          <w:szCs w:val="20"/>
          <w:lang w:val="es-ES_tradnl"/>
        </w:rPr>
        <w:t>inidoneidad</w:t>
      </w:r>
      <w:proofErr w:type="spellEnd"/>
      <w:r w:rsidRPr="00E121B4">
        <w:rPr>
          <w:sz w:val="20"/>
          <w:szCs w:val="20"/>
          <w:lang w:val="es-ES_tradnl"/>
        </w:rPr>
        <w:t xml:space="preserve"> de las prohibiciones sobre esta actividad – “</w:t>
      </w:r>
      <w:proofErr w:type="spellStart"/>
      <w:r w:rsidRPr="00E121B4">
        <w:rPr>
          <w:i/>
          <w:sz w:val="20"/>
          <w:szCs w:val="20"/>
          <w:lang w:val="es-ES_tradnl"/>
        </w:rPr>
        <w:t>Dwarf</w:t>
      </w:r>
      <w:proofErr w:type="spellEnd"/>
      <w:r w:rsidRPr="00E121B4">
        <w:rPr>
          <w:i/>
          <w:sz w:val="20"/>
          <w:szCs w:val="20"/>
          <w:lang w:val="es-ES_tradnl"/>
        </w:rPr>
        <w:t xml:space="preserve"> </w:t>
      </w:r>
      <w:proofErr w:type="spellStart"/>
      <w:r w:rsidRPr="00E121B4">
        <w:rPr>
          <w:i/>
          <w:sz w:val="20"/>
          <w:szCs w:val="20"/>
          <w:lang w:val="es-ES_tradnl"/>
        </w:rPr>
        <w:t>tossing</w:t>
      </w:r>
      <w:proofErr w:type="spellEnd"/>
      <w:r w:rsidRPr="00E121B4">
        <w:rPr>
          <w:sz w:val="20"/>
          <w:szCs w:val="20"/>
          <w:lang w:val="es-ES_tradnl"/>
        </w:rPr>
        <w:t>”. Haciéndose eco,</w:t>
      </w:r>
      <w:r w:rsidR="003A4358">
        <w:rPr>
          <w:sz w:val="20"/>
          <w:szCs w:val="20"/>
          <w:lang w:val="es-ES_tradnl"/>
        </w:rPr>
        <w:t xml:space="preserve"> </w:t>
      </w:r>
      <w:r w:rsidRPr="00E121B4">
        <w:rPr>
          <w:sz w:val="20"/>
          <w:szCs w:val="20"/>
          <w:lang w:val="es-ES_tradnl"/>
        </w:rPr>
        <w:t>por otra parte, de una normativa canadiense que efectivamente la prohíbe:</w:t>
      </w:r>
    </w:p>
    <w:p w:rsidR="001E68A9" w:rsidRPr="00E121B4" w:rsidRDefault="001E68A9" w:rsidP="002916C5">
      <w:pPr>
        <w:widowControl w:val="0"/>
        <w:tabs>
          <w:tab w:val="clear" w:pos="3420"/>
        </w:tabs>
        <w:adjustRightInd w:val="0"/>
        <w:spacing w:line="240" w:lineRule="auto"/>
        <w:rPr>
          <w:rFonts w:eastAsiaTheme="minorEastAsia"/>
          <w:color w:val="000000"/>
          <w:sz w:val="20"/>
          <w:szCs w:val="20"/>
          <w:lang w:val="en-US"/>
        </w:rPr>
      </w:pPr>
      <w:r w:rsidRPr="00E121B4">
        <w:rPr>
          <w:rFonts w:eastAsiaTheme="minorEastAsia"/>
          <w:color w:val="000000"/>
          <w:sz w:val="20"/>
          <w:szCs w:val="20"/>
          <w:lang w:val="en-US"/>
        </w:rPr>
        <w:t>“</w:t>
      </w:r>
      <w:r w:rsidRPr="00E121B4">
        <w:rPr>
          <w:rFonts w:eastAsiaTheme="minorEastAsia"/>
          <w:i/>
          <w:color w:val="000000"/>
          <w:sz w:val="20"/>
          <w:szCs w:val="20"/>
          <w:lang w:val="en-US"/>
        </w:rPr>
        <w:t>Ontario Dwarf Tossing Ban Act</w:t>
      </w:r>
      <w:r w:rsidRPr="00E121B4">
        <w:rPr>
          <w:rFonts w:eastAsiaTheme="minorEastAsia"/>
          <w:color w:val="000000"/>
          <w:sz w:val="20"/>
          <w:szCs w:val="20"/>
          <w:lang w:val="en-US"/>
        </w:rPr>
        <w:t xml:space="preserve">” (2003), </w:t>
      </w:r>
    </w:p>
    <w:p w:rsidR="001E68A9" w:rsidRPr="00E121B4" w:rsidRDefault="00C15A56" w:rsidP="002916C5">
      <w:pPr>
        <w:widowControl w:val="0"/>
        <w:tabs>
          <w:tab w:val="clear" w:pos="3420"/>
        </w:tabs>
        <w:adjustRightInd w:val="0"/>
        <w:spacing w:line="240" w:lineRule="auto"/>
        <w:rPr>
          <w:rFonts w:eastAsiaTheme="minorEastAsia"/>
          <w:color w:val="000000"/>
          <w:sz w:val="20"/>
          <w:szCs w:val="20"/>
        </w:rPr>
      </w:pPr>
      <w:hyperlink r:id="rId2" w:history="1">
        <w:r w:rsidR="001E68A9" w:rsidRPr="00E121B4">
          <w:rPr>
            <w:rStyle w:val="Enlla"/>
            <w:rFonts w:eastAsiaTheme="minorEastAsia"/>
            <w:sz w:val="20"/>
            <w:szCs w:val="20"/>
          </w:rPr>
          <w:t>http://www.ontla.on.ca/web/bills/bills_detail.do?locale=en&amp;BillID=1128</w:t>
        </w:r>
      </w:hyperlink>
      <w:r w:rsidR="001E68A9" w:rsidRPr="00E121B4">
        <w:rPr>
          <w:rFonts w:eastAsiaTheme="minorEastAsia"/>
          <w:color w:val="0000FF"/>
          <w:sz w:val="20"/>
          <w:szCs w:val="20"/>
        </w:rPr>
        <w:t xml:space="preserve"> </w:t>
      </w:r>
      <w:r w:rsidR="001E68A9" w:rsidRPr="00E121B4">
        <w:rPr>
          <w:rFonts w:eastAsiaTheme="minorEastAsia"/>
          <w:sz w:val="20"/>
          <w:szCs w:val="20"/>
        </w:rPr>
        <w:t>(última consulta: 10/03/14)</w:t>
      </w:r>
    </w:p>
  </w:footnote>
  <w:footnote w:id="16">
    <w:p w:rsidR="001E68A9" w:rsidRPr="00E121B4" w:rsidRDefault="001E68A9" w:rsidP="002916C5">
      <w:pPr>
        <w:pStyle w:val="Textdenotaapeudepgina"/>
        <w:rPr>
          <w:sz w:val="20"/>
          <w:szCs w:val="20"/>
        </w:rPr>
      </w:pPr>
      <w:r w:rsidRPr="00E121B4">
        <w:rPr>
          <w:rStyle w:val="Refernciadenotaapeudepgina"/>
          <w:sz w:val="20"/>
          <w:szCs w:val="20"/>
        </w:rPr>
        <w:footnoteRef/>
      </w:r>
      <w:r w:rsidRPr="00E121B4">
        <w:rPr>
          <w:sz w:val="20"/>
          <w:szCs w:val="20"/>
        </w:rPr>
        <w:t xml:space="preserve"> AS 3692.</w:t>
      </w:r>
    </w:p>
  </w:footnote>
  <w:footnote w:id="17">
    <w:p w:rsidR="001E68A9" w:rsidRPr="00E121B4" w:rsidRDefault="001E68A9" w:rsidP="002916C5">
      <w:pPr>
        <w:pStyle w:val="Textdenotaapeudepgina"/>
        <w:rPr>
          <w:color w:val="000000"/>
          <w:sz w:val="20"/>
          <w:szCs w:val="20"/>
        </w:rPr>
      </w:pPr>
      <w:r w:rsidRPr="00E121B4">
        <w:rPr>
          <w:rStyle w:val="Refernciadenotaapeudepgina"/>
          <w:sz w:val="20"/>
          <w:szCs w:val="20"/>
        </w:rPr>
        <w:footnoteRef/>
      </w:r>
      <w:r w:rsidRPr="00E121B4">
        <w:rPr>
          <w:sz w:val="20"/>
          <w:szCs w:val="20"/>
        </w:rPr>
        <w:t xml:space="preserve"> Como denuncia la SAN 23 de diciembre 2003 (AS 3692): “</w:t>
      </w:r>
      <w:r w:rsidRPr="00E121B4">
        <w:rPr>
          <w:color w:val="000000"/>
          <w:sz w:val="20"/>
          <w:szCs w:val="20"/>
        </w:rPr>
        <w:t xml:space="preserve">Sólo desde la perspectiva del Estado social de Derecho podemos identificar una falta de previsión legislativa, una carencia de sensibilidad normativa en orden a acometer y cercenar los múltiples problemas que desde ámbitos tan diferentes como la marginación, las relaciones de vecindad y urbanidad la sanidad o la economía sumergida, plantea la realidad social de la prostitución”. </w:t>
      </w:r>
    </w:p>
    <w:p w:rsidR="001E68A9" w:rsidRPr="00E121B4" w:rsidRDefault="001E68A9" w:rsidP="002916C5">
      <w:pPr>
        <w:pStyle w:val="Textdenotaapeudepgina"/>
        <w:rPr>
          <w:sz w:val="20"/>
          <w:szCs w:val="20"/>
        </w:rPr>
      </w:pPr>
      <w:r w:rsidRPr="00E121B4">
        <w:rPr>
          <w:color w:val="000000"/>
          <w:sz w:val="20"/>
          <w:szCs w:val="20"/>
        </w:rPr>
        <w:t>Y, en este sentido, también resulta muy interesante la STSJ Galicia 7 de mayo 2004 (AS 1276) cuando afirma que “</w:t>
      </w:r>
      <w:r w:rsidRPr="00E121B4">
        <w:rPr>
          <w:rStyle w:val="apple-converted-space"/>
          <w:color w:val="000000"/>
          <w:sz w:val="20"/>
          <w:szCs w:val="20"/>
        </w:rPr>
        <w:t> </w:t>
      </w:r>
      <w:r w:rsidRPr="00E121B4">
        <w:rPr>
          <w:color w:val="000000"/>
          <w:sz w:val="20"/>
          <w:szCs w:val="20"/>
        </w:rPr>
        <w:t xml:space="preserve">un estado social y democrático de derecho como el nuestro debe reaccionar inmediatamente frente a estas situaciones, pero no desde la facilidad de dejar que sea la jurisprudencia la que declare la existencia de una relación laboral cuando el objeto es ilícito y por tanto el contrato nulo; la reacción debe iniciarse desde políticas sociales activas, educacionales y formativas, y de persecución penal de estas actividades, pero no imponiendo el barniz de una relación laboral ficticia, para así conseguir cobertura laboral y desde la Seguridad Social, cuando a ésta debe llegarse desde otros caminos, ofreciendo una adecuada protección prestacional a las inmigrantes que se encuentran en tal situación”. </w:t>
      </w:r>
    </w:p>
    <w:p w:rsidR="001E68A9" w:rsidRPr="00E121B4" w:rsidRDefault="001E68A9" w:rsidP="002916C5">
      <w:pPr>
        <w:pStyle w:val="Textdenotaapeudepgina"/>
        <w:rPr>
          <w:sz w:val="20"/>
          <w:szCs w:val="20"/>
          <w:lang w:val="es-ES_tradnl"/>
        </w:rPr>
      </w:pPr>
      <w:r w:rsidRPr="00E121B4">
        <w:rPr>
          <w:i/>
          <w:sz w:val="20"/>
          <w:szCs w:val="20"/>
          <w:lang w:val="es-ES_tradnl"/>
        </w:rPr>
        <w:t>Vid.</w:t>
      </w:r>
      <w:r w:rsidRPr="00E121B4">
        <w:rPr>
          <w:sz w:val="20"/>
          <w:szCs w:val="20"/>
          <w:lang w:val="es-ES_tradnl"/>
        </w:rPr>
        <w:t xml:space="preserve"> al respecto en la doctrina, entre otros, BENLLOCH SANZ (2006); CONDE-PUMPIDO TOURÓN (2009); POYATOS MATAS (2009); y GALA DURÁN (2008). </w:t>
      </w:r>
    </w:p>
  </w:footnote>
  <w:footnote w:id="18">
    <w:p w:rsidR="001E68A9" w:rsidRPr="00E121B4" w:rsidRDefault="001E68A9" w:rsidP="002916C5">
      <w:pPr>
        <w:pStyle w:val="Textdenotaapeudepgina"/>
        <w:rPr>
          <w:sz w:val="20"/>
          <w:szCs w:val="20"/>
          <w:lang w:val="es-ES_tradnl"/>
        </w:rPr>
      </w:pPr>
      <w:r w:rsidRPr="00E121B4">
        <w:rPr>
          <w:rStyle w:val="Refernciadenotaapeudepgina"/>
          <w:sz w:val="20"/>
          <w:szCs w:val="20"/>
        </w:rPr>
        <w:footnoteRef/>
      </w:r>
      <w:r w:rsidRPr="00E121B4">
        <w:rPr>
          <w:sz w:val="20"/>
          <w:szCs w:val="20"/>
        </w:rPr>
        <w:t xml:space="preserve"> </w:t>
      </w:r>
      <w:r w:rsidRPr="00E121B4">
        <w:rPr>
          <w:sz w:val="20"/>
          <w:szCs w:val="20"/>
          <w:lang w:val="es-ES_tradnl"/>
        </w:rPr>
        <w:t>Aunque, como se sabe, la SAN 23 de diciembre 2003 (AS 3692) reconoce la licitud de la prostitución ejercida por cuenta propia. No obstante, la STS 27 de noviembre 2004 (RJ 8063), si bien confirma el criterio de la AN, al considerar que la Asociación Patronal “Mesalina” tenía una finalidad laboral lícita a los efectos de inscripción en el Registro del MTAS, obvia cualquier valoración en los términos expuestos.</w:t>
      </w:r>
    </w:p>
  </w:footnote>
  <w:footnote w:id="19">
    <w:p w:rsidR="001E68A9" w:rsidRPr="00E121B4" w:rsidRDefault="001E68A9" w:rsidP="002916C5">
      <w:pPr>
        <w:pStyle w:val="Textdenotaapeudepgina"/>
        <w:rPr>
          <w:rFonts w:eastAsiaTheme="minorEastAsia"/>
          <w:sz w:val="20"/>
          <w:szCs w:val="20"/>
        </w:rPr>
      </w:pPr>
      <w:r w:rsidRPr="00E121B4">
        <w:rPr>
          <w:rStyle w:val="Refernciadenotaapeudepgina"/>
          <w:sz w:val="20"/>
          <w:szCs w:val="20"/>
        </w:rPr>
        <w:footnoteRef/>
      </w:r>
      <w:r w:rsidRPr="00E121B4">
        <w:rPr>
          <w:sz w:val="20"/>
          <w:szCs w:val="20"/>
        </w:rPr>
        <w:t xml:space="preserve"> Como expone MONTOYA MELGAR (2006, versión digital): esta doctrina viene a poner de manifiesto que “</w:t>
      </w:r>
      <w:r w:rsidRPr="00E121B4">
        <w:rPr>
          <w:rFonts w:eastAsiaTheme="minorEastAsia"/>
          <w:sz w:val="20"/>
          <w:szCs w:val="20"/>
        </w:rPr>
        <w:t xml:space="preserve">aplicando la sanción de nulidad o apreciando incluso la inexistencia de las aludidas relaciones jurídicas, se produciría una injusta desprotección del «trabajador», con el consiguiente beneficio para el «patrono», que quedaría exento de obligaciones y responsabilidades laborales”. </w:t>
      </w:r>
      <w:r w:rsidRPr="00E121B4">
        <w:rPr>
          <w:sz w:val="20"/>
          <w:szCs w:val="20"/>
        </w:rPr>
        <w:t>En este sentido</w:t>
      </w:r>
      <w:r w:rsidRPr="00E121B4">
        <w:rPr>
          <w:sz w:val="20"/>
          <w:szCs w:val="20"/>
          <w:lang w:val="es-ES_tradnl"/>
        </w:rPr>
        <w:t xml:space="preserve">, entre otras, </w:t>
      </w:r>
      <w:r w:rsidRPr="00E121B4">
        <w:rPr>
          <w:color w:val="000000"/>
          <w:sz w:val="20"/>
          <w:szCs w:val="20"/>
        </w:rPr>
        <w:t>SSTS 4 de febrero 1988 (RJ 5948); 21 de octubre 1987 (RJ 7172); 13 de marzo 1997 (RJ 2461); 15 de junio y</w:t>
      </w:r>
      <w:r w:rsidR="00F21465" w:rsidRPr="00E121B4">
        <w:rPr>
          <w:rStyle w:val="apple-converted-space"/>
          <w:color w:val="000000"/>
          <w:sz w:val="20"/>
          <w:szCs w:val="20"/>
        </w:rPr>
        <w:t xml:space="preserve"> </w:t>
      </w:r>
      <w:r w:rsidRPr="00E121B4">
        <w:rPr>
          <w:color w:val="000000"/>
          <w:sz w:val="20"/>
          <w:szCs w:val="20"/>
        </w:rPr>
        <w:t>20 de octubre 1998 (RJ 5262 y 9296);</w:t>
      </w:r>
      <w:r w:rsidRPr="00E121B4">
        <w:rPr>
          <w:sz w:val="20"/>
          <w:szCs w:val="20"/>
          <w:lang w:val="es-ES_tradnl"/>
        </w:rPr>
        <w:t xml:space="preserve"> </w:t>
      </w:r>
      <w:r w:rsidRPr="00E121B4">
        <w:rPr>
          <w:color w:val="000000"/>
          <w:sz w:val="20"/>
          <w:szCs w:val="20"/>
        </w:rPr>
        <w:t>25 de enero</w:t>
      </w:r>
      <w:r w:rsidR="00F21465" w:rsidRPr="00E121B4">
        <w:rPr>
          <w:color w:val="000000"/>
          <w:sz w:val="20"/>
          <w:szCs w:val="20"/>
        </w:rPr>
        <w:t xml:space="preserve"> </w:t>
      </w:r>
      <w:r w:rsidRPr="00E121B4">
        <w:rPr>
          <w:color w:val="000000"/>
          <w:sz w:val="20"/>
          <w:szCs w:val="20"/>
        </w:rPr>
        <w:t>2000 (RJ 1312); 27 de noviembre de 2004</w:t>
      </w:r>
      <w:r w:rsidR="00F21465" w:rsidRPr="00E121B4">
        <w:rPr>
          <w:color w:val="000000"/>
          <w:sz w:val="20"/>
          <w:szCs w:val="20"/>
        </w:rPr>
        <w:t xml:space="preserve"> </w:t>
      </w:r>
      <w:r w:rsidRPr="00E121B4">
        <w:rPr>
          <w:color w:val="000000"/>
          <w:sz w:val="20"/>
          <w:szCs w:val="20"/>
        </w:rPr>
        <w:t xml:space="preserve">(RJ 8063); y </w:t>
      </w:r>
      <w:r w:rsidRPr="00E121B4">
        <w:rPr>
          <w:sz w:val="20"/>
          <w:szCs w:val="20"/>
          <w:lang w:val="es-ES_tradnl"/>
        </w:rPr>
        <w:t xml:space="preserve">17 de noviembre 2004 (RJ 2005\858); y </w:t>
      </w:r>
      <w:r w:rsidRPr="00E121B4">
        <w:rPr>
          <w:sz w:val="20"/>
          <w:szCs w:val="20"/>
        </w:rPr>
        <w:t>SS</w:t>
      </w:r>
      <w:r w:rsidRPr="00E121B4">
        <w:rPr>
          <w:rFonts w:eastAsiaTheme="minorEastAsia"/>
          <w:sz w:val="20"/>
          <w:szCs w:val="20"/>
        </w:rPr>
        <w:t xml:space="preserve">TSJ Cataluña 15 mayo 2009 (AS 2506); 2 de octubre 2008 (AS 2392); 27 de febrero 2009 (AS y 14 de octubre 2010 (AS 490); Asturias 13 de octubre 2010 (AS 2368); Castilla y León\Valladolid 21 de septiembre 2011 (JUR 351118); Navarra 15 de octubre 2003 (AS 4009); y 28 de mayo 2004 (AS 2096); Murcia 29 de octubre 2007 (AS 673); Castilla-La Mancha 8 de marzo 2011 (AS 1513). </w:t>
      </w:r>
    </w:p>
  </w:footnote>
  <w:footnote w:id="20">
    <w:p w:rsidR="001E68A9" w:rsidRPr="00E121B4" w:rsidRDefault="001E68A9" w:rsidP="002916C5">
      <w:pPr>
        <w:pStyle w:val="Textdenotaapeudepgina"/>
        <w:rPr>
          <w:sz w:val="20"/>
          <w:szCs w:val="20"/>
        </w:rPr>
      </w:pPr>
      <w:r w:rsidRPr="00E121B4">
        <w:rPr>
          <w:rStyle w:val="Refernciadenotaapeudepgina"/>
          <w:sz w:val="20"/>
          <w:szCs w:val="20"/>
        </w:rPr>
        <w:footnoteRef/>
      </w:r>
      <w:r w:rsidRPr="00E121B4">
        <w:rPr>
          <w:sz w:val="20"/>
          <w:szCs w:val="20"/>
        </w:rPr>
        <w:t xml:space="preserve"> Voto Particular de la S</w:t>
      </w:r>
      <w:r w:rsidRPr="00E121B4">
        <w:rPr>
          <w:rFonts w:eastAsiaTheme="minorEastAsia"/>
          <w:sz w:val="20"/>
          <w:szCs w:val="20"/>
        </w:rPr>
        <w:t>TSJ Cataluña 15 mayo 2009 (AS 2506).</w:t>
      </w:r>
    </w:p>
  </w:footnote>
  <w:footnote w:id="21">
    <w:p w:rsidR="00235481" w:rsidRPr="00E121B4" w:rsidRDefault="00235481" w:rsidP="00235481">
      <w:pPr>
        <w:pStyle w:val="Textdenotaapeudepgina"/>
        <w:rPr>
          <w:sz w:val="20"/>
          <w:szCs w:val="20"/>
          <w:lang w:val="es-ES_tradnl"/>
        </w:rPr>
      </w:pPr>
      <w:r w:rsidRPr="00E121B4">
        <w:rPr>
          <w:rStyle w:val="Refernciadenotaapeudepgina"/>
          <w:sz w:val="20"/>
          <w:szCs w:val="20"/>
        </w:rPr>
        <w:footnoteRef/>
      </w:r>
      <w:r w:rsidRPr="00E121B4">
        <w:rPr>
          <w:sz w:val="20"/>
          <w:szCs w:val="20"/>
        </w:rPr>
        <w:t xml:space="preserve"> </w:t>
      </w:r>
      <w:r w:rsidRPr="00E121B4">
        <w:rPr>
          <w:sz w:val="20"/>
          <w:szCs w:val="20"/>
          <w:lang w:val="es-ES_tradnl"/>
        </w:rPr>
        <w:t>Defendiendo lo contrario SAN 23 de diciembre 2003 (AS 3692).</w:t>
      </w:r>
    </w:p>
  </w:footnote>
  <w:footnote w:id="22">
    <w:p w:rsidR="00E121B4" w:rsidRPr="00E121B4" w:rsidRDefault="00E121B4">
      <w:pPr>
        <w:pStyle w:val="Textdenotaapeudepgina"/>
        <w:rPr>
          <w:sz w:val="20"/>
          <w:szCs w:val="20"/>
          <w:lang w:val="ca-ES"/>
        </w:rPr>
      </w:pPr>
      <w:r w:rsidRPr="00E121B4">
        <w:rPr>
          <w:rStyle w:val="Refernciadenotaapeudepgina"/>
          <w:sz w:val="20"/>
          <w:szCs w:val="20"/>
        </w:rPr>
        <w:footnoteRef/>
      </w:r>
      <w:r w:rsidRPr="00E121B4">
        <w:rPr>
          <w:sz w:val="20"/>
          <w:szCs w:val="20"/>
        </w:rPr>
        <w:t xml:space="preserve"> AS 3638.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DD340B"/>
    <w:multiLevelType w:val="hybridMultilevel"/>
    <w:tmpl w:val="E274082E"/>
    <w:lvl w:ilvl="0" w:tplc="2C2C1344">
      <w:start w:val="1"/>
      <w:numFmt w:val="bullet"/>
      <w:lvlText w:val=""/>
      <w:lvlJc w:val="left"/>
      <w:pPr>
        <w:tabs>
          <w:tab w:val="num" w:pos="720"/>
        </w:tabs>
        <w:ind w:left="720" w:hanging="360"/>
      </w:pPr>
      <w:rPr>
        <w:rFonts w:ascii="Symbol" w:hAnsi="Symbol" w:hint="default"/>
      </w:rPr>
    </w:lvl>
    <w:lvl w:ilvl="1" w:tplc="B87882B2">
      <w:start w:val="1"/>
      <w:numFmt w:val="bullet"/>
      <w:lvlText w:val=""/>
      <w:lvlJc w:val="left"/>
      <w:pPr>
        <w:tabs>
          <w:tab w:val="num" w:pos="1440"/>
        </w:tabs>
        <w:ind w:left="1420" w:hanging="340"/>
      </w:pPr>
      <w:rPr>
        <w:rFonts w:ascii="Wingdings" w:hAnsi="Wingdings" w:hint="default"/>
      </w:rPr>
    </w:lvl>
    <w:lvl w:ilvl="2" w:tplc="FE4EB734">
      <w:start w:val="1"/>
      <w:numFmt w:val="bullet"/>
      <w:lvlText w:val=""/>
      <w:lvlJc w:val="left"/>
      <w:pPr>
        <w:tabs>
          <w:tab w:val="num" w:pos="2160"/>
        </w:tabs>
        <w:ind w:left="2160" w:hanging="360"/>
      </w:pPr>
      <w:rPr>
        <w:rFonts w:ascii="Symbol" w:hAnsi="Symbol" w:hint="default"/>
      </w:rPr>
    </w:lvl>
    <w:lvl w:ilvl="3" w:tplc="0E5C2856">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76C483E"/>
    <w:multiLevelType w:val="hybridMultilevel"/>
    <w:tmpl w:val="5DFABD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4F680AAA"/>
    <w:multiLevelType w:val="hybridMultilevel"/>
    <w:tmpl w:val="C8423B22"/>
    <w:lvl w:ilvl="0" w:tplc="EF5AEE4E">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FE4EB734">
      <w:start w:val="1"/>
      <w:numFmt w:val="bullet"/>
      <w:lvlText w:val=""/>
      <w:lvlJc w:val="left"/>
      <w:pPr>
        <w:tabs>
          <w:tab w:val="num" w:pos="2880"/>
        </w:tabs>
        <w:ind w:left="2880" w:hanging="360"/>
      </w:pPr>
      <w:rPr>
        <w:rFonts w:ascii="Symbol" w:hAnsi="Symbol" w:hint="default"/>
      </w:rPr>
    </w:lvl>
    <w:lvl w:ilvl="4" w:tplc="45843CEA">
      <w:start w:val="1"/>
      <w:numFmt w:val="bullet"/>
      <w:lvlText w:val=""/>
      <w:lvlJc w:val="left"/>
      <w:pPr>
        <w:tabs>
          <w:tab w:val="num" w:pos="3600"/>
        </w:tabs>
        <w:ind w:left="3600" w:hanging="360"/>
      </w:pPr>
      <w:rPr>
        <w:rFonts w:ascii="Symbol" w:hAnsi="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40F2E91"/>
    <w:multiLevelType w:val="hybridMultilevel"/>
    <w:tmpl w:val="ABF66E0C"/>
    <w:lvl w:ilvl="0" w:tplc="2C2C1344">
      <w:start w:val="1"/>
      <w:numFmt w:val="bullet"/>
      <w:lvlText w:val=""/>
      <w:lvlJc w:val="left"/>
      <w:pPr>
        <w:tabs>
          <w:tab w:val="num" w:pos="720"/>
        </w:tabs>
        <w:ind w:left="720" w:hanging="360"/>
      </w:pPr>
      <w:rPr>
        <w:rFonts w:ascii="Symbol" w:hAnsi="Symbol" w:hint="default"/>
      </w:rPr>
    </w:lvl>
    <w:lvl w:ilvl="1" w:tplc="B87882B2">
      <w:start w:val="1"/>
      <w:numFmt w:val="bullet"/>
      <w:lvlText w:val=""/>
      <w:lvlJc w:val="left"/>
      <w:pPr>
        <w:tabs>
          <w:tab w:val="num" w:pos="1440"/>
        </w:tabs>
        <w:ind w:left="1420" w:hanging="340"/>
      </w:pPr>
      <w:rPr>
        <w:rFonts w:ascii="Wingdings" w:hAnsi="Wingdings" w:hint="default"/>
      </w:rPr>
    </w:lvl>
    <w:lvl w:ilvl="2" w:tplc="FE4EB734">
      <w:start w:val="1"/>
      <w:numFmt w:val="bullet"/>
      <w:lvlText w:val=""/>
      <w:lvlJc w:val="left"/>
      <w:pPr>
        <w:tabs>
          <w:tab w:val="num" w:pos="2160"/>
        </w:tabs>
        <w:ind w:left="2160" w:hanging="360"/>
      </w:pPr>
      <w:rPr>
        <w:rFonts w:ascii="Symbol" w:hAnsi="Symbol" w:hint="default"/>
      </w:rPr>
    </w:lvl>
    <w:lvl w:ilvl="3" w:tplc="4E20A366">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136A1"/>
    <w:rsid w:val="0001679C"/>
    <w:rsid w:val="00020EFB"/>
    <w:rsid w:val="0005329B"/>
    <w:rsid w:val="00060616"/>
    <w:rsid w:val="00074D05"/>
    <w:rsid w:val="00077AB4"/>
    <w:rsid w:val="00090AD6"/>
    <w:rsid w:val="0009626C"/>
    <w:rsid w:val="000A2843"/>
    <w:rsid w:val="000A38D6"/>
    <w:rsid w:val="000A692A"/>
    <w:rsid w:val="000B1FCA"/>
    <w:rsid w:val="000D568C"/>
    <w:rsid w:val="000E3D3F"/>
    <w:rsid w:val="00100CE5"/>
    <w:rsid w:val="00107C18"/>
    <w:rsid w:val="00132C75"/>
    <w:rsid w:val="001479C5"/>
    <w:rsid w:val="001530A3"/>
    <w:rsid w:val="00154DD3"/>
    <w:rsid w:val="001A3D3B"/>
    <w:rsid w:val="001B5F3B"/>
    <w:rsid w:val="001C2FA3"/>
    <w:rsid w:val="001C6242"/>
    <w:rsid w:val="001E68A9"/>
    <w:rsid w:val="00223D95"/>
    <w:rsid w:val="0022458E"/>
    <w:rsid w:val="002265E6"/>
    <w:rsid w:val="002269E4"/>
    <w:rsid w:val="00235481"/>
    <w:rsid w:val="0024594F"/>
    <w:rsid w:val="00251CF6"/>
    <w:rsid w:val="00253874"/>
    <w:rsid w:val="002635FE"/>
    <w:rsid w:val="002916C5"/>
    <w:rsid w:val="00297B9F"/>
    <w:rsid w:val="002A3591"/>
    <w:rsid w:val="002A3E8C"/>
    <w:rsid w:val="002C5553"/>
    <w:rsid w:val="002E7C66"/>
    <w:rsid w:val="002F4FC2"/>
    <w:rsid w:val="002F550B"/>
    <w:rsid w:val="003123DD"/>
    <w:rsid w:val="003172D1"/>
    <w:rsid w:val="00351403"/>
    <w:rsid w:val="00382267"/>
    <w:rsid w:val="003933AD"/>
    <w:rsid w:val="003A4358"/>
    <w:rsid w:val="003E6A0C"/>
    <w:rsid w:val="00403CD0"/>
    <w:rsid w:val="00417A55"/>
    <w:rsid w:val="00426C5D"/>
    <w:rsid w:val="00431F0C"/>
    <w:rsid w:val="004435E3"/>
    <w:rsid w:val="004B45E3"/>
    <w:rsid w:val="0051759B"/>
    <w:rsid w:val="0052058C"/>
    <w:rsid w:val="00531AD0"/>
    <w:rsid w:val="005374E7"/>
    <w:rsid w:val="00543F2E"/>
    <w:rsid w:val="00556B92"/>
    <w:rsid w:val="0057666B"/>
    <w:rsid w:val="005818A0"/>
    <w:rsid w:val="00582B09"/>
    <w:rsid w:val="005B0131"/>
    <w:rsid w:val="005D4513"/>
    <w:rsid w:val="005E1554"/>
    <w:rsid w:val="00600F26"/>
    <w:rsid w:val="0061064F"/>
    <w:rsid w:val="006129A4"/>
    <w:rsid w:val="00630741"/>
    <w:rsid w:val="0063160A"/>
    <w:rsid w:val="0064780D"/>
    <w:rsid w:val="006574D5"/>
    <w:rsid w:val="00662088"/>
    <w:rsid w:val="00677FBA"/>
    <w:rsid w:val="00682CB3"/>
    <w:rsid w:val="006B30C1"/>
    <w:rsid w:val="006C5593"/>
    <w:rsid w:val="006E427E"/>
    <w:rsid w:val="006E5F35"/>
    <w:rsid w:val="006F1A94"/>
    <w:rsid w:val="006F7F2A"/>
    <w:rsid w:val="00710FF2"/>
    <w:rsid w:val="00713897"/>
    <w:rsid w:val="00731C03"/>
    <w:rsid w:val="00732B47"/>
    <w:rsid w:val="00734A44"/>
    <w:rsid w:val="00754D58"/>
    <w:rsid w:val="00767C6F"/>
    <w:rsid w:val="00786023"/>
    <w:rsid w:val="0079179E"/>
    <w:rsid w:val="007A650C"/>
    <w:rsid w:val="007A6CA7"/>
    <w:rsid w:val="007B3BE2"/>
    <w:rsid w:val="007E5F0B"/>
    <w:rsid w:val="007F0901"/>
    <w:rsid w:val="007F0E3D"/>
    <w:rsid w:val="008136A1"/>
    <w:rsid w:val="008153CD"/>
    <w:rsid w:val="00825B09"/>
    <w:rsid w:val="008329DF"/>
    <w:rsid w:val="008579CC"/>
    <w:rsid w:val="00870DA4"/>
    <w:rsid w:val="00892B18"/>
    <w:rsid w:val="00897518"/>
    <w:rsid w:val="008A35FA"/>
    <w:rsid w:val="008A3B6F"/>
    <w:rsid w:val="008B0A57"/>
    <w:rsid w:val="008B26BF"/>
    <w:rsid w:val="008B3FE1"/>
    <w:rsid w:val="008B4EDA"/>
    <w:rsid w:val="009103A7"/>
    <w:rsid w:val="00916D31"/>
    <w:rsid w:val="009227FE"/>
    <w:rsid w:val="00945CA5"/>
    <w:rsid w:val="009463EC"/>
    <w:rsid w:val="009468DD"/>
    <w:rsid w:val="00994579"/>
    <w:rsid w:val="009A71FE"/>
    <w:rsid w:val="009B4D4C"/>
    <w:rsid w:val="009C2E0C"/>
    <w:rsid w:val="009E4C57"/>
    <w:rsid w:val="00A0645C"/>
    <w:rsid w:val="00A13B3E"/>
    <w:rsid w:val="00A16627"/>
    <w:rsid w:val="00A350DB"/>
    <w:rsid w:val="00A5431E"/>
    <w:rsid w:val="00A61ECD"/>
    <w:rsid w:val="00AF552D"/>
    <w:rsid w:val="00AF767B"/>
    <w:rsid w:val="00B03237"/>
    <w:rsid w:val="00B104E0"/>
    <w:rsid w:val="00B215B6"/>
    <w:rsid w:val="00B46F62"/>
    <w:rsid w:val="00B47159"/>
    <w:rsid w:val="00B7128F"/>
    <w:rsid w:val="00B80B98"/>
    <w:rsid w:val="00BB5E7C"/>
    <w:rsid w:val="00BC2454"/>
    <w:rsid w:val="00BC7610"/>
    <w:rsid w:val="00BE5C05"/>
    <w:rsid w:val="00BF0FCC"/>
    <w:rsid w:val="00BF491E"/>
    <w:rsid w:val="00C05B9E"/>
    <w:rsid w:val="00C15A56"/>
    <w:rsid w:val="00C200D5"/>
    <w:rsid w:val="00C35F50"/>
    <w:rsid w:val="00C435DA"/>
    <w:rsid w:val="00C501B1"/>
    <w:rsid w:val="00C7787C"/>
    <w:rsid w:val="00CA1341"/>
    <w:rsid w:val="00CB05A3"/>
    <w:rsid w:val="00CC69A9"/>
    <w:rsid w:val="00CC6CE3"/>
    <w:rsid w:val="00CD231C"/>
    <w:rsid w:val="00CE70EE"/>
    <w:rsid w:val="00D47DCF"/>
    <w:rsid w:val="00D56D04"/>
    <w:rsid w:val="00D63D08"/>
    <w:rsid w:val="00D66F56"/>
    <w:rsid w:val="00D67640"/>
    <w:rsid w:val="00D71E67"/>
    <w:rsid w:val="00DD53FF"/>
    <w:rsid w:val="00DD5B3A"/>
    <w:rsid w:val="00DF7DBA"/>
    <w:rsid w:val="00E121B4"/>
    <w:rsid w:val="00E1546D"/>
    <w:rsid w:val="00E27A05"/>
    <w:rsid w:val="00E370D4"/>
    <w:rsid w:val="00E67FFB"/>
    <w:rsid w:val="00E8491A"/>
    <w:rsid w:val="00EB0891"/>
    <w:rsid w:val="00EC2F1E"/>
    <w:rsid w:val="00EC6FC7"/>
    <w:rsid w:val="00ED2675"/>
    <w:rsid w:val="00EE4D99"/>
    <w:rsid w:val="00EF6606"/>
    <w:rsid w:val="00EF6D5E"/>
    <w:rsid w:val="00F114E3"/>
    <w:rsid w:val="00F14D82"/>
    <w:rsid w:val="00F17CF5"/>
    <w:rsid w:val="00F21465"/>
    <w:rsid w:val="00F348B9"/>
    <w:rsid w:val="00F61590"/>
    <w:rsid w:val="00F84108"/>
    <w:rsid w:val="00F914C8"/>
    <w:rsid w:val="00F91538"/>
    <w:rsid w:val="00FB6967"/>
    <w:rsid w:val="00FC125C"/>
    <w:rsid w:val="00FE7BC3"/>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A1"/>
    <w:pPr>
      <w:tabs>
        <w:tab w:val="left" w:pos="3420"/>
      </w:tabs>
      <w:autoSpaceDE w:val="0"/>
      <w:autoSpaceDN w:val="0"/>
      <w:spacing w:line="360" w:lineRule="auto"/>
      <w:jc w:val="both"/>
    </w:pPr>
    <w:rPr>
      <w:rFonts w:ascii="Times New Roman" w:eastAsia="Times New Roman" w:hAnsi="Times New Roman" w:cs="Times New Roman"/>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nhideWhenUsed/>
    <w:rsid w:val="00CA1341"/>
    <w:pPr>
      <w:spacing w:line="240" w:lineRule="auto"/>
    </w:pPr>
  </w:style>
  <w:style w:type="character" w:customStyle="1" w:styleId="TextdenotaapeudepginaCar">
    <w:name w:val="Text de nota a peu de pàgina Car"/>
    <w:basedOn w:val="Tipusdelletraperdefectedelpargraf"/>
    <w:link w:val="Textdenotaapeudepgina"/>
    <w:uiPriority w:val="99"/>
    <w:rsid w:val="00CA1341"/>
    <w:rPr>
      <w:rFonts w:ascii="Times New Roman" w:eastAsia="Times New Roman" w:hAnsi="Times New Roman" w:cs="Times New Roman"/>
      <w:lang w:val="es-ES"/>
    </w:rPr>
  </w:style>
  <w:style w:type="character" w:styleId="Refernciadenotaapeudepgina">
    <w:name w:val="footnote reference"/>
    <w:basedOn w:val="Tipusdelletraperdefectedelpargraf"/>
    <w:unhideWhenUsed/>
    <w:rsid w:val="00CA1341"/>
    <w:rPr>
      <w:vertAlign w:val="superscript"/>
    </w:rPr>
  </w:style>
  <w:style w:type="paragraph" w:styleId="Peu">
    <w:name w:val="footer"/>
    <w:basedOn w:val="Normal"/>
    <w:link w:val="PeuCar"/>
    <w:uiPriority w:val="99"/>
    <w:unhideWhenUsed/>
    <w:rsid w:val="008A35FA"/>
    <w:pPr>
      <w:tabs>
        <w:tab w:val="clear" w:pos="3420"/>
        <w:tab w:val="center" w:pos="4419"/>
        <w:tab w:val="right" w:pos="8838"/>
      </w:tabs>
      <w:spacing w:line="240" w:lineRule="auto"/>
    </w:pPr>
  </w:style>
  <w:style w:type="character" w:customStyle="1" w:styleId="PeuCar">
    <w:name w:val="Peu Car"/>
    <w:basedOn w:val="Tipusdelletraperdefectedelpargraf"/>
    <w:link w:val="Peu"/>
    <w:uiPriority w:val="99"/>
    <w:rsid w:val="008A35FA"/>
    <w:rPr>
      <w:rFonts w:ascii="Times New Roman" w:eastAsia="Times New Roman" w:hAnsi="Times New Roman" w:cs="Times New Roman"/>
      <w:lang w:val="es-ES"/>
    </w:rPr>
  </w:style>
  <w:style w:type="character" w:styleId="Nmerodepgina">
    <w:name w:val="page number"/>
    <w:basedOn w:val="Tipusdelletraperdefectedelpargraf"/>
    <w:uiPriority w:val="99"/>
    <w:semiHidden/>
    <w:unhideWhenUsed/>
    <w:rsid w:val="008A35FA"/>
  </w:style>
  <w:style w:type="character" w:styleId="Enlla">
    <w:name w:val="Hyperlink"/>
    <w:basedOn w:val="Tipusdelletraperdefectedelpargraf"/>
    <w:uiPriority w:val="99"/>
    <w:unhideWhenUsed/>
    <w:rsid w:val="00B215B6"/>
    <w:rPr>
      <w:color w:val="0000FF" w:themeColor="hyperlink"/>
      <w:u w:val="single"/>
    </w:rPr>
  </w:style>
  <w:style w:type="character" w:styleId="Enllavisitat">
    <w:name w:val="FollowedHyperlink"/>
    <w:basedOn w:val="Tipusdelletraperdefectedelpargraf"/>
    <w:uiPriority w:val="99"/>
    <w:semiHidden/>
    <w:unhideWhenUsed/>
    <w:rsid w:val="00B215B6"/>
    <w:rPr>
      <w:color w:val="800080" w:themeColor="followedHyperlink"/>
      <w:u w:val="single"/>
    </w:rPr>
  </w:style>
  <w:style w:type="paragraph" w:styleId="Textdeglobus">
    <w:name w:val="Balloon Text"/>
    <w:basedOn w:val="Normal"/>
    <w:link w:val="TextdeglobusCar"/>
    <w:uiPriority w:val="99"/>
    <w:semiHidden/>
    <w:unhideWhenUsed/>
    <w:rsid w:val="00531AD0"/>
    <w:pPr>
      <w:spacing w:line="240" w:lineRule="auto"/>
    </w:pPr>
    <w:rPr>
      <w:rFonts w:ascii="Lucida Grande" w:hAnsi="Lucida Grande" w:cs="Lucida Grande"/>
      <w:sz w:val="18"/>
      <w:szCs w:val="18"/>
    </w:rPr>
  </w:style>
  <w:style w:type="character" w:customStyle="1" w:styleId="TextdeglobusCar">
    <w:name w:val="Text de globus Car"/>
    <w:basedOn w:val="Tipusdelletraperdefectedelpargraf"/>
    <w:link w:val="Textdeglobus"/>
    <w:uiPriority w:val="99"/>
    <w:semiHidden/>
    <w:rsid w:val="00531AD0"/>
    <w:rPr>
      <w:rFonts w:ascii="Lucida Grande" w:eastAsia="Times New Roman" w:hAnsi="Lucida Grande" w:cs="Lucida Grande"/>
      <w:sz w:val="18"/>
      <w:szCs w:val="18"/>
      <w:lang w:val="es-ES"/>
    </w:rPr>
  </w:style>
  <w:style w:type="paragraph" w:styleId="Pargrafdellista">
    <w:name w:val="List Paragraph"/>
    <w:basedOn w:val="Normal"/>
    <w:uiPriority w:val="34"/>
    <w:qFormat/>
    <w:rsid w:val="00E370D4"/>
    <w:pPr>
      <w:ind w:left="720"/>
      <w:contextualSpacing/>
    </w:pPr>
  </w:style>
  <w:style w:type="character" w:customStyle="1" w:styleId="apple-converted-space">
    <w:name w:val="apple-converted-space"/>
    <w:basedOn w:val="Tipusdelletraperdefectedelpargraf"/>
    <w:rsid w:val="00677FBA"/>
  </w:style>
  <w:style w:type="character" w:styleId="mfasi">
    <w:name w:val="Emphasis"/>
    <w:basedOn w:val="Tipusdelletraperdefectedelpargraf"/>
    <w:uiPriority w:val="20"/>
    <w:qFormat/>
    <w:rsid w:val="0064780D"/>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samientocr&#237;tic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edtss.com/images/stories/documentos/XXIII_Congreso_Nacional/01_Jose_Luis_Go&#241;i.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ntla.on.ca/web/bills/bills_detail.do?locale=en&amp;BillID=1128" TargetMode="External"/><Relationship Id="rId1" Type="http://schemas.openxmlformats.org/officeDocument/2006/relationships/hyperlink" Target="http://www1.umn.edu/humanrts/hrcommittee/spanish/854-199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6F2A9-A0DA-4B0F-AA3D-19A3F668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13</Pages>
  <Words>5190</Words>
  <Characters>29587</Characters>
  <Application>Microsoft Office Word</Application>
  <DocSecurity>0</DocSecurity>
  <Lines>246</Lines>
  <Paragraphs>69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Sisó Pozo</dc:creator>
  <cp:keywords/>
  <dc:description/>
  <cp:lastModifiedBy>ibeltran_de_heredia</cp:lastModifiedBy>
  <cp:revision>69</cp:revision>
  <dcterms:created xsi:type="dcterms:W3CDTF">2014-03-03T15:34:00Z</dcterms:created>
  <dcterms:modified xsi:type="dcterms:W3CDTF">2014-10-08T15:31:00Z</dcterms:modified>
</cp:coreProperties>
</file>